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00" w:rsidRPr="00425EAD" w:rsidRDefault="007A6400" w:rsidP="007A6400">
      <w:pPr>
        <w:spacing w:before="120" w:after="120"/>
        <w:jc w:val="right"/>
        <w:rPr>
          <w:sz w:val="27"/>
          <w:szCs w:val="27"/>
        </w:rPr>
      </w:pPr>
      <w:bookmarkStart w:id="0" w:name="_Toc367199550"/>
      <w:bookmarkStart w:id="1" w:name="_Toc369510941"/>
    </w:p>
    <w:p w:rsidR="00A20117" w:rsidRPr="00425EAD" w:rsidRDefault="00A20117" w:rsidP="00A20117">
      <w:pPr>
        <w:jc w:val="right"/>
      </w:pPr>
    </w:p>
    <w:p w:rsidR="00A20117" w:rsidRPr="00425EAD" w:rsidRDefault="00A20117" w:rsidP="00A20117">
      <w:pPr>
        <w:rPr>
          <w:rFonts w:eastAsia="Calibri"/>
          <w:sz w:val="28"/>
          <w:szCs w:val="28"/>
          <w:lang w:eastAsia="en-US"/>
        </w:rPr>
      </w:pPr>
    </w:p>
    <w:p w:rsidR="00253FC0" w:rsidRPr="00C928BC" w:rsidRDefault="00253FC0" w:rsidP="00253FC0">
      <w:pPr>
        <w:ind w:left="6237"/>
        <w:jc w:val="right"/>
        <w:rPr>
          <w:i/>
          <w:sz w:val="28"/>
          <w:szCs w:val="28"/>
        </w:rPr>
      </w:pPr>
    </w:p>
    <w:p w:rsidR="00253FC0" w:rsidRDefault="00253FC0" w:rsidP="00253FC0">
      <w:pPr>
        <w:jc w:val="right"/>
        <w:rPr>
          <w:i/>
          <w:sz w:val="28"/>
          <w:szCs w:val="28"/>
        </w:rPr>
      </w:pPr>
    </w:p>
    <w:p w:rsidR="002F221A" w:rsidRDefault="002F221A" w:rsidP="00253FC0">
      <w:pPr>
        <w:jc w:val="right"/>
        <w:rPr>
          <w:i/>
          <w:sz w:val="28"/>
          <w:szCs w:val="28"/>
        </w:rPr>
      </w:pPr>
    </w:p>
    <w:p w:rsidR="002F221A" w:rsidRPr="00C928BC" w:rsidRDefault="002F221A" w:rsidP="00253FC0">
      <w:pPr>
        <w:jc w:val="right"/>
        <w:rPr>
          <w:i/>
          <w:sz w:val="28"/>
          <w:szCs w:val="28"/>
        </w:rPr>
      </w:pPr>
    </w:p>
    <w:p w:rsidR="00253FC0" w:rsidRPr="00C928BC" w:rsidRDefault="00253FC0" w:rsidP="00253FC0">
      <w:pPr>
        <w:spacing w:line="360" w:lineRule="auto"/>
        <w:jc w:val="center"/>
        <w:rPr>
          <w:i/>
          <w:sz w:val="28"/>
          <w:szCs w:val="28"/>
        </w:rPr>
      </w:pPr>
    </w:p>
    <w:p w:rsidR="00253FC0" w:rsidRDefault="00253FC0" w:rsidP="00253FC0">
      <w:pPr>
        <w:spacing w:line="360" w:lineRule="auto"/>
        <w:jc w:val="center"/>
        <w:rPr>
          <w:i/>
          <w:sz w:val="28"/>
          <w:szCs w:val="28"/>
        </w:rPr>
      </w:pPr>
    </w:p>
    <w:p w:rsidR="002F221A" w:rsidRDefault="002F221A" w:rsidP="00253FC0">
      <w:pPr>
        <w:spacing w:line="360" w:lineRule="auto"/>
        <w:jc w:val="center"/>
        <w:rPr>
          <w:i/>
          <w:sz w:val="28"/>
          <w:szCs w:val="28"/>
        </w:rPr>
      </w:pPr>
    </w:p>
    <w:p w:rsidR="002F221A" w:rsidRPr="00C928BC" w:rsidRDefault="002F221A" w:rsidP="00253FC0">
      <w:pPr>
        <w:spacing w:line="360" w:lineRule="auto"/>
        <w:jc w:val="center"/>
        <w:rPr>
          <w:i/>
          <w:sz w:val="28"/>
          <w:szCs w:val="28"/>
        </w:rPr>
      </w:pPr>
    </w:p>
    <w:p w:rsidR="00253FC0" w:rsidRPr="002F221A" w:rsidRDefault="002F221A" w:rsidP="002F221A">
      <w:pPr>
        <w:tabs>
          <w:tab w:val="left" w:pos="3749"/>
          <w:tab w:val="left" w:pos="4140"/>
          <w:tab w:val="center" w:pos="4677"/>
        </w:tabs>
        <w:jc w:val="center"/>
        <w:rPr>
          <w:sz w:val="32"/>
          <w:szCs w:val="32"/>
        </w:rPr>
      </w:pPr>
      <w:r w:rsidRPr="002F221A">
        <w:rPr>
          <w:b/>
          <w:sz w:val="32"/>
          <w:szCs w:val="32"/>
        </w:rPr>
        <w:t>Актуальная версия</w:t>
      </w:r>
    </w:p>
    <w:p w:rsidR="00253FC0" w:rsidRPr="00C928BC" w:rsidRDefault="00253FC0" w:rsidP="00253FC0">
      <w:pPr>
        <w:spacing w:line="360" w:lineRule="auto"/>
        <w:jc w:val="center"/>
        <w:rPr>
          <w:sz w:val="28"/>
          <w:szCs w:val="28"/>
        </w:rPr>
      </w:pPr>
    </w:p>
    <w:p w:rsidR="00253FC0" w:rsidRPr="00C928BC" w:rsidRDefault="00253FC0" w:rsidP="00253FC0">
      <w:pPr>
        <w:spacing w:line="360" w:lineRule="auto"/>
        <w:jc w:val="center"/>
        <w:rPr>
          <w:sz w:val="28"/>
          <w:szCs w:val="28"/>
        </w:rPr>
      </w:pPr>
    </w:p>
    <w:p w:rsidR="00253FC0" w:rsidRPr="002F221A" w:rsidRDefault="002F221A" w:rsidP="00253FC0">
      <w:pPr>
        <w:spacing w:line="360" w:lineRule="auto"/>
        <w:jc w:val="center"/>
        <w:rPr>
          <w:caps/>
          <w:sz w:val="28"/>
          <w:szCs w:val="28"/>
        </w:rPr>
      </w:pPr>
      <w:r w:rsidRPr="002F221A">
        <w:rPr>
          <w:caps/>
          <w:sz w:val="28"/>
          <w:szCs w:val="28"/>
        </w:rPr>
        <w:t xml:space="preserve">Муниципальной программы </w:t>
      </w:r>
    </w:p>
    <w:p w:rsidR="00253FC0" w:rsidRPr="00C928BC" w:rsidRDefault="00253FC0" w:rsidP="00253FC0">
      <w:pPr>
        <w:spacing w:before="240" w:line="360" w:lineRule="auto"/>
        <w:jc w:val="center"/>
        <w:rPr>
          <w:b/>
          <w:caps/>
          <w:spacing w:val="-4"/>
          <w:sz w:val="28"/>
          <w:szCs w:val="28"/>
        </w:rPr>
      </w:pPr>
      <w:r w:rsidRPr="00C928BC">
        <w:rPr>
          <w:b/>
          <w:caps/>
          <w:sz w:val="28"/>
          <w:szCs w:val="28"/>
        </w:rPr>
        <w:t>«</w:t>
      </w:r>
      <w:r w:rsidR="00D35A4D" w:rsidRPr="00C928BC">
        <w:rPr>
          <w:caps/>
          <w:sz w:val="28"/>
          <w:szCs w:val="28"/>
        </w:rPr>
        <w:t>Обеспечение благоприятного инвестиционного климата во Всеволожском муниципальном районе Ленинградской области на 202</w:t>
      </w:r>
      <w:r w:rsidR="001E2EE5" w:rsidRPr="00C928BC">
        <w:rPr>
          <w:caps/>
          <w:sz w:val="28"/>
          <w:szCs w:val="28"/>
        </w:rPr>
        <w:t>1</w:t>
      </w:r>
      <w:r w:rsidR="00D35A4D" w:rsidRPr="00C928BC">
        <w:rPr>
          <w:caps/>
          <w:sz w:val="28"/>
          <w:szCs w:val="28"/>
        </w:rPr>
        <w:t>-202</w:t>
      </w:r>
      <w:r w:rsidR="006C6FE9">
        <w:rPr>
          <w:caps/>
          <w:sz w:val="28"/>
          <w:szCs w:val="28"/>
        </w:rPr>
        <w:t>5</w:t>
      </w:r>
      <w:r w:rsidR="00D35A4D" w:rsidRPr="00C928BC">
        <w:rPr>
          <w:caps/>
          <w:sz w:val="28"/>
          <w:szCs w:val="28"/>
        </w:rPr>
        <w:t xml:space="preserve"> годы</w:t>
      </w:r>
      <w:r w:rsidRPr="00C928BC">
        <w:rPr>
          <w:b/>
          <w:caps/>
          <w:spacing w:val="-4"/>
          <w:sz w:val="28"/>
          <w:szCs w:val="28"/>
        </w:rPr>
        <w:t xml:space="preserve">» </w:t>
      </w:r>
    </w:p>
    <w:p w:rsidR="00253FC0" w:rsidRDefault="00253FC0" w:rsidP="00253FC0">
      <w:pPr>
        <w:spacing w:line="360" w:lineRule="auto"/>
        <w:jc w:val="center"/>
        <w:rPr>
          <w:sz w:val="28"/>
          <w:szCs w:val="28"/>
        </w:rPr>
      </w:pPr>
    </w:p>
    <w:p w:rsidR="002F221A" w:rsidRDefault="002F221A" w:rsidP="002F221A">
      <w:pPr>
        <w:jc w:val="center"/>
        <w:rPr>
          <w:sz w:val="27"/>
          <w:szCs w:val="27"/>
        </w:rPr>
      </w:pPr>
      <w:r w:rsidRPr="00CE4F35">
        <w:rPr>
          <w:sz w:val="27"/>
          <w:szCs w:val="27"/>
        </w:rPr>
        <w:t>Список изменяющихся документов</w:t>
      </w:r>
    </w:p>
    <w:p w:rsidR="002F221A" w:rsidRDefault="002F221A" w:rsidP="002F221A">
      <w:pPr>
        <w:jc w:val="center"/>
        <w:rPr>
          <w:i/>
          <w:sz w:val="28"/>
          <w:szCs w:val="28"/>
          <w:u w:val="single"/>
        </w:rPr>
      </w:pPr>
      <w:r w:rsidRPr="00DD757C">
        <w:rPr>
          <w:i/>
          <w:sz w:val="28"/>
          <w:szCs w:val="28"/>
          <w:u w:val="single"/>
        </w:rPr>
        <w:t>29.10.2020  №  3616</w:t>
      </w:r>
    </w:p>
    <w:p w:rsidR="002F221A" w:rsidRPr="00CE4F35" w:rsidRDefault="002F221A" w:rsidP="002F221A">
      <w:pPr>
        <w:jc w:val="center"/>
        <w:rPr>
          <w:sz w:val="27"/>
          <w:szCs w:val="27"/>
        </w:rPr>
      </w:pPr>
    </w:p>
    <w:p w:rsidR="002F221A" w:rsidRPr="00CE4F35" w:rsidRDefault="002F221A" w:rsidP="002F221A">
      <w:pPr>
        <w:jc w:val="center"/>
        <w:rPr>
          <w:sz w:val="27"/>
          <w:szCs w:val="27"/>
        </w:rPr>
      </w:pPr>
      <w:r w:rsidRPr="002F221A">
        <w:rPr>
          <w:i/>
          <w:sz w:val="28"/>
          <w:szCs w:val="28"/>
        </w:rPr>
        <w:t xml:space="preserve"> (</w:t>
      </w:r>
      <w:r w:rsidRPr="00CE4F35">
        <w:rPr>
          <w:sz w:val="27"/>
          <w:szCs w:val="27"/>
        </w:rPr>
        <w:t>в ред. постановлений администрации</w:t>
      </w:r>
      <w:r>
        <w:rPr>
          <w:sz w:val="27"/>
          <w:szCs w:val="27"/>
        </w:rPr>
        <w:t xml:space="preserve">: </w:t>
      </w:r>
      <w:r w:rsidRPr="00CE4F35">
        <w:rPr>
          <w:sz w:val="27"/>
          <w:szCs w:val="27"/>
        </w:rPr>
        <w:t xml:space="preserve">от </w:t>
      </w:r>
      <w:r>
        <w:rPr>
          <w:sz w:val="27"/>
          <w:szCs w:val="27"/>
        </w:rPr>
        <w:t>11.02.2021</w:t>
      </w:r>
      <w:r w:rsidRPr="00CE4F35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409</w:t>
      </w:r>
      <w:r w:rsidR="006566FD">
        <w:rPr>
          <w:sz w:val="27"/>
          <w:szCs w:val="27"/>
        </w:rPr>
        <w:t xml:space="preserve">, </w:t>
      </w:r>
      <w:r w:rsidR="00F60CD6">
        <w:rPr>
          <w:sz w:val="27"/>
          <w:szCs w:val="27"/>
        </w:rPr>
        <w:t>от 22.12.2021</w:t>
      </w:r>
      <w:r w:rsidR="00E128DA">
        <w:rPr>
          <w:sz w:val="27"/>
          <w:szCs w:val="27"/>
        </w:rPr>
        <w:t xml:space="preserve"> №4999</w:t>
      </w:r>
      <w:bookmarkStart w:id="2" w:name="_GoBack"/>
      <w:bookmarkEnd w:id="2"/>
      <w:r w:rsidR="00F60CD6">
        <w:rPr>
          <w:sz w:val="27"/>
          <w:szCs w:val="27"/>
        </w:rPr>
        <w:t xml:space="preserve">, от 17.02.2022 №522, </w:t>
      </w:r>
      <w:r w:rsidR="006566FD">
        <w:rPr>
          <w:sz w:val="27"/>
          <w:szCs w:val="27"/>
        </w:rPr>
        <w:t>от 18.02.2022 №533</w:t>
      </w:r>
      <w:r w:rsidRPr="00CE4F35">
        <w:rPr>
          <w:sz w:val="27"/>
          <w:szCs w:val="27"/>
        </w:rPr>
        <w:t>)</w:t>
      </w:r>
    </w:p>
    <w:p w:rsidR="002F221A" w:rsidRPr="00CE4F35" w:rsidRDefault="002F221A" w:rsidP="002F221A">
      <w:pPr>
        <w:jc w:val="right"/>
        <w:rPr>
          <w:sz w:val="26"/>
          <w:szCs w:val="26"/>
        </w:rPr>
      </w:pPr>
    </w:p>
    <w:p w:rsidR="002F221A" w:rsidRPr="00C928BC" w:rsidRDefault="002F221A" w:rsidP="00253FC0">
      <w:pPr>
        <w:spacing w:line="360" w:lineRule="auto"/>
        <w:jc w:val="center"/>
        <w:rPr>
          <w:sz w:val="28"/>
          <w:szCs w:val="28"/>
        </w:rPr>
      </w:pPr>
    </w:p>
    <w:p w:rsidR="00253FC0" w:rsidRPr="00C928BC" w:rsidRDefault="00253FC0" w:rsidP="00253FC0">
      <w:pPr>
        <w:spacing w:line="360" w:lineRule="auto"/>
        <w:jc w:val="center"/>
        <w:rPr>
          <w:sz w:val="28"/>
          <w:szCs w:val="28"/>
        </w:rPr>
      </w:pPr>
    </w:p>
    <w:p w:rsidR="0053487B" w:rsidRPr="00C928BC" w:rsidRDefault="0053487B" w:rsidP="00253FC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3487B" w:rsidRPr="00C928BC" w:rsidRDefault="0053487B" w:rsidP="00314D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487B" w:rsidRPr="00C928BC" w:rsidRDefault="0053487B" w:rsidP="00253FC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B0995" w:rsidRPr="00C928BC" w:rsidRDefault="008B0995" w:rsidP="00253FC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53FC0" w:rsidRPr="00C928BC" w:rsidRDefault="00253FC0" w:rsidP="00253F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928BC">
        <w:rPr>
          <w:sz w:val="28"/>
          <w:szCs w:val="28"/>
        </w:rPr>
        <w:t>г. Всеволожск</w:t>
      </w:r>
    </w:p>
    <w:p w:rsidR="00253FC0" w:rsidRPr="00C928BC" w:rsidRDefault="00253FC0" w:rsidP="00253F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928BC">
        <w:rPr>
          <w:sz w:val="28"/>
          <w:szCs w:val="28"/>
        </w:rPr>
        <w:t>2020 год</w:t>
      </w:r>
    </w:p>
    <w:p w:rsidR="00002E24" w:rsidRPr="00C928BC" w:rsidRDefault="00002E24" w:rsidP="00002E24">
      <w:pPr>
        <w:pStyle w:val="1"/>
        <w:spacing w:before="0" w:after="0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002E24" w:rsidRPr="00B70730" w:rsidRDefault="00002E24" w:rsidP="00002E2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70730">
        <w:rPr>
          <w:rFonts w:ascii="Times New Roman" w:hAnsi="Times New Roman"/>
          <w:sz w:val="26"/>
          <w:szCs w:val="26"/>
        </w:rPr>
        <w:t>Паспорт</w:t>
      </w:r>
    </w:p>
    <w:p w:rsidR="00A14261" w:rsidRPr="00B70730" w:rsidRDefault="00002E24" w:rsidP="00002E2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B70730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B70730">
        <w:rPr>
          <w:rFonts w:ascii="Times New Roman" w:hAnsi="Times New Roman"/>
          <w:sz w:val="26"/>
          <w:szCs w:val="26"/>
        </w:rPr>
        <w:t>програм</w:t>
      </w:r>
      <w:r w:rsidRPr="00B70730">
        <w:rPr>
          <w:rFonts w:ascii="Times New Roman" w:hAnsi="Times New Roman"/>
          <w:sz w:val="26"/>
          <w:szCs w:val="26"/>
          <w:lang w:val="ru-RU"/>
        </w:rPr>
        <w:t>мы</w:t>
      </w:r>
    </w:p>
    <w:p w:rsidR="00002E24" w:rsidRPr="00B70730" w:rsidRDefault="00002E24" w:rsidP="00002E2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B70730">
        <w:rPr>
          <w:rFonts w:ascii="Times New Roman" w:hAnsi="Times New Roman"/>
          <w:b w:val="0"/>
          <w:sz w:val="26"/>
          <w:szCs w:val="26"/>
        </w:rPr>
        <w:t xml:space="preserve"> «Обеспечение благоприятного инвестиционного климата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во Всеволожском </w:t>
      </w:r>
      <w:r w:rsidRPr="00B70730">
        <w:rPr>
          <w:rFonts w:ascii="Times New Roman" w:hAnsi="Times New Roman"/>
          <w:b w:val="0"/>
          <w:sz w:val="26"/>
          <w:szCs w:val="26"/>
        </w:rPr>
        <w:t>муниципальном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районе Ленинградской области на 20</w:t>
      </w:r>
      <w:r w:rsidR="004004DA" w:rsidRPr="00B70730">
        <w:rPr>
          <w:rFonts w:ascii="Times New Roman" w:hAnsi="Times New Roman"/>
          <w:b w:val="0"/>
          <w:sz w:val="26"/>
          <w:szCs w:val="26"/>
          <w:lang w:val="ru-RU"/>
        </w:rPr>
        <w:t>21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>-202</w:t>
      </w:r>
      <w:r w:rsidR="00B03A5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годы</w:t>
      </w:r>
      <w:r w:rsidRPr="00B70730">
        <w:rPr>
          <w:rFonts w:ascii="Times New Roman" w:hAnsi="Times New Roman"/>
          <w:b w:val="0"/>
          <w:sz w:val="26"/>
          <w:szCs w:val="26"/>
        </w:rPr>
        <w:t>»</w:t>
      </w:r>
    </w:p>
    <w:p w:rsidR="004004DA" w:rsidRPr="00B70730" w:rsidRDefault="004004DA" w:rsidP="004004DA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A14261" w:rsidRPr="00B70730" w:rsidRDefault="00A14261" w:rsidP="004004DA">
      <w:pPr>
        <w:spacing w:line="276" w:lineRule="auto"/>
        <w:jc w:val="center"/>
        <w:textAlignment w:val="baseline"/>
        <w:rPr>
          <w:sz w:val="26"/>
          <w:szCs w:val="26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5245"/>
      </w:tblGrid>
      <w:tr w:rsidR="004004DA" w:rsidRPr="00B70730" w:rsidTr="000E1BA7">
        <w:trPr>
          <w:trHeight w:val="61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Полное наименование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2009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bCs/>
                <w:sz w:val="26"/>
                <w:szCs w:val="26"/>
              </w:rPr>
              <w:t>Обеспечение благоприятного инвестиционного климата во Всеволожском муниципальном районе Ленинградской области на 2021-202</w:t>
            </w:r>
            <w:r w:rsidR="00A46B1C">
              <w:rPr>
                <w:bCs/>
                <w:sz w:val="26"/>
                <w:szCs w:val="26"/>
              </w:rPr>
              <w:t>5</w:t>
            </w:r>
            <w:r w:rsidRPr="00B70730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widowControl w:val="0"/>
              <w:jc w:val="both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Отдел по экономическому развитию </w:t>
            </w:r>
          </w:p>
          <w:p w:rsidR="004004DA" w:rsidRPr="00B70730" w:rsidRDefault="004004DA" w:rsidP="000E1BA7">
            <w:pPr>
              <w:widowControl w:val="0"/>
              <w:jc w:val="both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и инвестициям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73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</w:t>
            </w:r>
          </w:p>
          <w:p w:rsidR="004004DA" w:rsidRPr="00B70730" w:rsidRDefault="004004DA" w:rsidP="000E1B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730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градостроительства;</w:t>
            </w:r>
          </w:p>
          <w:p w:rsidR="004004DA" w:rsidRPr="00B70730" w:rsidRDefault="004004DA" w:rsidP="000E1BA7">
            <w:pPr>
              <w:pStyle w:val="ConsPlusCell"/>
              <w:jc w:val="both"/>
              <w:rPr>
                <w:sz w:val="26"/>
                <w:szCs w:val="26"/>
              </w:rPr>
            </w:pPr>
            <w:r w:rsidRPr="00B70730">
              <w:rPr>
                <w:rFonts w:ascii="Times New Roman" w:hAnsi="Times New Roman" w:cs="Times New Roman"/>
                <w:bCs/>
                <w:sz w:val="26"/>
                <w:szCs w:val="26"/>
              </w:rPr>
              <w:t>МКУ «Центр муниципальных услуг»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73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защите информации </w:t>
            </w:r>
          </w:p>
          <w:p w:rsidR="004004DA" w:rsidRPr="00B70730" w:rsidRDefault="004004DA" w:rsidP="000E1B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730">
              <w:rPr>
                <w:rFonts w:ascii="Times New Roman" w:hAnsi="Times New Roman" w:cs="Times New Roman"/>
                <w:sz w:val="26"/>
                <w:szCs w:val="26"/>
              </w:rPr>
              <w:t>и информационному обеспечению;</w:t>
            </w:r>
          </w:p>
          <w:p w:rsidR="004004DA" w:rsidRPr="00B70730" w:rsidRDefault="004004DA" w:rsidP="000E1BA7">
            <w:pPr>
              <w:pStyle w:val="ConsPlusCell"/>
              <w:jc w:val="both"/>
              <w:rPr>
                <w:sz w:val="26"/>
                <w:szCs w:val="26"/>
              </w:rPr>
            </w:pPr>
            <w:r w:rsidRPr="00B70730">
              <w:rPr>
                <w:rFonts w:ascii="Times New Roman" w:hAnsi="Times New Roman" w:cs="Times New Roman"/>
                <w:bCs/>
                <w:sz w:val="26"/>
                <w:szCs w:val="26"/>
              </w:rPr>
              <w:t>Сектор пресс-служба администрации;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отсутствуют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2009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i/>
                <w:sz w:val="26"/>
                <w:szCs w:val="26"/>
              </w:rPr>
              <w:t xml:space="preserve"> </w:t>
            </w:r>
            <w:r w:rsidRPr="00B70730">
              <w:rPr>
                <w:spacing w:val="-6"/>
                <w:sz w:val="26"/>
                <w:szCs w:val="26"/>
              </w:rPr>
              <w:t>Создание благоприятных условий для ведения предпринимательской</w:t>
            </w:r>
            <w:r w:rsidRPr="00B70730">
              <w:rPr>
                <w:sz w:val="26"/>
                <w:szCs w:val="26"/>
              </w:rPr>
              <w:t xml:space="preserve"> деятельности, привлечения инвестиций                  в экономику Всеволожского муниципального района Ленинградской области.</w:t>
            </w:r>
          </w:p>
          <w:p w:rsidR="004004DA" w:rsidRPr="00B70730" w:rsidRDefault="004004DA" w:rsidP="002009C8">
            <w:pPr>
              <w:widowControl w:val="0"/>
              <w:autoSpaceDE w:val="0"/>
              <w:autoSpaceDN w:val="0"/>
              <w:adjustRightInd w:val="0"/>
              <w:ind w:firstLine="156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Совершенствование системы стратегического управления социально-экономическим развитием Всеволожского муниципального района Ленинградской области.</w:t>
            </w:r>
          </w:p>
          <w:p w:rsidR="004004DA" w:rsidRPr="00B70730" w:rsidRDefault="004004DA" w:rsidP="002009C8">
            <w:pPr>
              <w:autoSpaceDE w:val="0"/>
              <w:autoSpaceDN w:val="0"/>
              <w:adjustRightInd w:val="0"/>
              <w:ind w:firstLine="156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Повышение эффективности государственного управления и снижение административных барьеров при предоставлении муниципальных услуг                       во Всеволожском муниципальном Ленинградской области.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2232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56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Улучшение условий ведения предпринимательской деятельности                     во Всеволожском муниципальном районе Ленинградской области и привлечение инвестиций.</w:t>
            </w:r>
          </w:p>
          <w:p w:rsidR="004004DA" w:rsidRPr="00B70730" w:rsidRDefault="004004DA" w:rsidP="0022327D">
            <w:pPr>
              <w:pStyle w:val="a8"/>
              <w:ind w:firstLine="156"/>
              <w:contextualSpacing/>
              <w:rPr>
                <w:rStyle w:val="a9"/>
                <w:rFonts w:ascii="Times New Roman" w:eastAsia="Calibri" w:hAnsi="Times New Roman" w:cs="Times New Roman"/>
                <w:i w:val="0"/>
                <w:sz w:val="26"/>
                <w:szCs w:val="26"/>
              </w:rPr>
            </w:pPr>
            <w:r w:rsidRPr="00B70730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</w:t>
            </w:r>
            <w:r w:rsidRPr="00B70730">
              <w:rPr>
                <w:rStyle w:val="a9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70730">
              <w:rPr>
                <w:rStyle w:val="a9"/>
                <w:rFonts w:ascii="Times New Roman" w:eastAsia="Calibri" w:hAnsi="Times New Roman" w:cs="Times New Roman"/>
                <w:i w:val="0"/>
                <w:sz w:val="26"/>
                <w:szCs w:val="26"/>
              </w:rPr>
              <w:t>системы стратегического планирования                                       и прогнозирования.</w:t>
            </w:r>
          </w:p>
          <w:p w:rsidR="004004DA" w:rsidRPr="00B70730" w:rsidRDefault="004004DA" w:rsidP="0022327D">
            <w:pPr>
              <w:autoSpaceDE w:val="0"/>
              <w:autoSpaceDN w:val="0"/>
              <w:adjustRightInd w:val="0"/>
              <w:ind w:firstLine="156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lastRenderedPageBreak/>
              <w:t>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области.</w:t>
            </w:r>
          </w:p>
          <w:p w:rsidR="004004DA" w:rsidRPr="00B70730" w:rsidRDefault="004004DA" w:rsidP="0022327D">
            <w:pPr>
              <w:pStyle w:val="a8"/>
              <w:ind w:firstLine="156"/>
              <w:contextualSpacing/>
              <w:rPr>
                <w:sz w:val="26"/>
                <w:szCs w:val="26"/>
              </w:rPr>
            </w:pPr>
            <w:r w:rsidRPr="00B70730">
              <w:rPr>
                <w:rFonts w:ascii="Times New Roman" w:hAnsi="Times New Roman" w:cs="Times New Roman"/>
                <w:sz w:val="26"/>
                <w:szCs w:val="26"/>
              </w:rPr>
              <w:t>Реализация схемы территориального планирования Всеволожского муниципального района.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E" w:rsidRPr="00B9131E" w:rsidRDefault="00B9131E" w:rsidP="00B9131E">
            <w:pPr>
              <w:widowControl w:val="0"/>
              <w:ind w:firstLine="156"/>
              <w:jc w:val="both"/>
              <w:rPr>
                <w:sz w:val="26"/>
                <w:szCs w:val="26"/>
              </w:rPr>
            </w:pPr>
            <w:r w:rsidRPr="00B9131E">
              <w:rPr>
                <w:sz w:val="26"/>
                <w:szCs w:val="26"/>
              </w:rPr>
              <w:t>Объем инвестиций в основной капитал.</w:t>
            </w:r>
          </w:p>
          <w:p w:rsidR="00B9131E" w:rsidRPr="00B9131E" w:rsidRDefault="00B9131E" w:rsidP="00B9131E">
            <w:pPr>
              <w:autoSpaceDE w:val="0"/>
              <w:autoSpaceDN w:val="0"/>
              <w:adjustRightInd w:val="0"/>
              <w:ind w:firstLine="156"/>
              <w:jc w:val="both"/>
              <w:rPr>
                <w:sz w:val="26"/>
                <w:szCs w:val="26"/>
              </w:rPr>
            </w:pPr>
            <w:r w:rsidRPr="00B9131E">
              <w:rPr>
                <w:sz w:val="26"/>
                <w:szCs w:val="26"/>
              </w:rPr>
              <w:t>Количество проведенных заседаний Совета по улучшению инвестиционного климата Всеволожского муниципального района.</w:t>
            </w:r>
          </w:p>
          <w:p w:rsidR="00B9131E" w:rsidRPr="00B9131E" w:rsidRDefault="00B9131E" w:rsidP="00B9131E">
            <w:pPr>
              <w:autoSpaceDE w:val="0"/>
              <w:autoSpaceDN w:val="0"/>
              <w:adjustRightInd w:val="0"/>
              <w:ind w:firstLine="156"/>
              <w:jc w:val="both"/>
              <w:rPr>
                <w:sz w:val="26"/>
                <w:szCs w:val="26"/>
              </w:rPr>
            </w:pPr>
            <w:r w:rsidRPr="00B9131E">
              <w:rPr>
                <w:sz w:val="26"/>
                <w:szCs w:val="26"/>
              </w:rPr>
              <w:t>Полнота размещения документов стратегического планирования                                     в ГАС «Управление».</w:t>
            </w:r>
          </w:p>
          <w:p w:rsidR="00B9131E" w:rsidRPr="00B9131E" w:rsidRDefault="00B9131E" w:rsidP="00B9131E">
            <w:pPr>
              <w:autoSpaceDE w:val="0"/>
              <w:autoSpaceDN w:val="0"/>
              <w:adjustRightInd w:val="0"/>
              <w:ind w:firstLine="156"/>
              <w:jc w:val="both"/>
              <w:rPr>
                <w:sz w:val="26"/>
                <w:szCs w:val="26"/>
              </w:rPr>
            </w:pPr>
            <w:r w:rsidRPr="00B9131E">
              <w:rPr>
                <w:sz w:val="26"/>
                <w:szCs w:val="26"/>
              </w:rPr>
              <w:t xml:space="preserve">Количество проведенных оценок регулирующего воздействия НПА                                и проектов НПА. </w:t>
            </w:r>
          </w:p>
          <w:p w:rsidR="00B9131E" w:rsidRPr="00B9131E" w:rsidRDefault="00B9131E" w:rsidP="00B9131E">
            <w:pPr>
              <w:autoSpaceDE w:val="0"/>
              <w:autoSpaceDN w:val="0"/>
              <w:adjustRightInd w:val="0"/>
              <w:ind w:firstLine="156"/>
              <w:jc w:val="both"/>
              <w:rPr>
                <w:sz w:val="26"/>
                <w:szCs w:val="26"/>
              </w:rPr>
            </w:pPr>
            <w:r w:rsidRPr="00B9131E">
              <w:rPr>
                <w:sz w:val="26"/>
                <w:szCs w:val="26"/>
              </w:rPr>
              <w:t>Срок предоставления муниципальных услуг, включенных в инвестиционный стандарт.</w:t>
            </w:r>
          </w:p>
          <w:p w:rsidR="00B9131E" w:rsidRPr="00B9131E" w:rsidRDefault="00B9131E" w:rsidP="00B9131E">
            <w:pPr>
              <w:autoSpaceDE w:val="0"/>
              <w:autoSpaceDN w:val="0"/>
              <w:adjustRightInd w:val="0"/>
              <w:ind w:firstLine="156"/>
              <w:jc w:val="both"/>
              <w:rPr>
                <w:sz w:val="26"/>
                <w:szCs w:val="26"/>
              </w:rPr>
            </w:pPr>
            <w:r w:rsidRPr="00B9131E">
              <w:rPr>
                <w:sz w:val="26"/>
                <w:szCs w:val="26"/>
              </w:rPr>
              <w:t xml:space="preserve">Количество предоставленных муниципальных услуг, включенных                         в инвестиционный стандарт. </w:t>
            </w:r>
          </w:p>
          <w:p w:rsidR="00B9131E" w:rsidRPr="00B9131E" w:rsidRDefault="00B9131E" w:rsidP="00B9131E">
            <w:pPr>
              <w:ind w:firstLine="156"/>
              <w:jc w:val="both"/>
              <w:rPr>
                <w:bCs/>
                <w:sz w:val="26"/>
                <w:szCs w:val="26"/>
              </w:rPr>
            </w:pPr>
            <w:r w:rsidRPr="00B9131E">
              <w:rPr>
                <w:sz w:val="26"/>
                <w:szCs w:val="26"/>
              </w:rPr>
              <w:t xml:space="preserve">Количество предоставленных  муниципальных  услуг </w:t>
            </w:r>
            <w:r w:rsidRPr="00B9131E">
              <w:rPr>
                <w:bCs/>
                <w:sz w:val="26"/>
                <w:szCs w:val="26"/>
              </w:rPr>
              <w:t>МКУ «Центр муниципальных услуг».</w:t>
            </w:r>
          </w:p>
          <w:p w:rsidR="004004DA" w:rsidRPr="00B70730" w:rsidRDefault="00B9131E" w:rsidP="00B9131E">
            <w:pPr>
              <w:autoSpaceDE w:val="0"/>
              <w:autoSpaceDN w:val="0"/>
              <w:adjustRightInd w:val="0"/>
              <w:ind w:firstLine="156"/>
              <w:rPr>
                <w:sz w:val="26"/>
                <w:szCs w:val="26"/>
              </w:rPr>
            </w:pPr>
            <w:r w:rsidRPr="00B9131E">
              <w:rPr>
                <w:rFonts w:eastAsiaTheme="minorHAnsi"/>
                <w:sz w:val="26"/>
                <w:szCs w:val="26"/>
                <w:lang w:eastAsia="en-US"/>
              </w:rPr>
              <w:t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о градостроительной деятельности.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6E66C2" w:rsidP="00117B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  <w:r w:rsidR="004004DA" w:rsidRPr="00B70730">
              <w:rPr>
                <w:sz w:val="26"/>
                <w:szCs w:val="26"/>
              </w:rPr>
              <w:t xml:space="preserve"> годы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62" w:rsidRPr="00B70730" w:rsidRDefault="003F5462" w:rsidP="003F5462">
            <w:pPr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Общий объем финансирования программы за весь период реализации составит                   </w:t>
            </w:r>
            <w:r>
              <w:rPr>
                <w:sz w:val="26"/>
                <w:szCs w:val="26"/>
              </w:rPr>
              <w:t>302 578,4</w:t>
            </w:r>
            <w:r w:rsidRPr="00B70730">
              <w:rPr>
                <w:sz w:val="26"/>
                <w:szCs w:val="26"/>
              </w:rPr>
              <w:t xml:space="preserve"> тыс. рублей (100% за счет средств местного бюджета):</w:t>
            </w:r>
          </w:p>
          <w:p w:rsidR="003F5462" w:rsidRPr="00B70730" w:rsidRDefault="003F5462" w:rsidP="003F5462">
            <w:pPr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2021 г. – </w:t>
            </w:r>
            <w:r w:rsidRPr="00AA589C">
              <w:rPr>
                <w:sz w:val="26"/>
                <w:szCs w:val="26"/>
              </w:rPr>
              <w:t>57 635,0</w:t>
            </w:r>
            <w:r w:rsidRPr="002950F0">
              <w:t xml:space="preserve">  </w:t>
            </w:r>
            <w:r w:rsidRPr="00B70730">
              <w:rPr>
                <w:sz w:val="26"/>
                <w:szCs w:val="26"/>
              </w:rPr>
              <w:t>тыс. рублей;</w:t>
            </w:r>
          </w:p>
          <w:p w:rsidR="003F5462" w:rsidRPr="00B70730" w:rsidRDefault="003F5462" w:rsidP="003F5462">
            <w:pPr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2022 г. – </w:t>
            </w:r>
            <w:r>
              <w:rPr>
                <w:sz w:val="26"/>
                <w:szCs w:val="26"/>
              </w:rPr>
              <w:t>59 152,0</w:t>
            </w:r>
            <w:r w:rsidRPr="00B70730">
              <w:rPr>
                <w:sz w:val="26"/>
                <w:szCs w:val="26"/>
              </w:rPr>
              <w:t xml:space="preserve"> тыс. рублей;</w:t>
            </w:r>
          </w:p>
          <w:p w:rsidR="003F5462" w:rsidRDefault="003F5462" w:rsidP="003F5462">
            <w:pPr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2023 г. – </w:t>
            </w:r>
            <w:r>
              <w:rPr>
                <w:sz w:val="26"/>
                <w:szCs w:val="26"/>
              </w:rPr>
              <w:t>59 518,0</w:t>
            </w:r>
            <w:r w:rsidRPr="00B70730">
              <w:rPr>
                <w:sz w:val="26"/>
                <w:szCs w:val="26"/>
              </w:rPr>
              <w:t xml:space="preserve"> тыс. рублей.</w:t>
            </w:r>
          </w:p>
          <w:p w:rsidR="003F5462" w:rsidRPr="00B70730" w:rsidRDefault="003F5462" w:rsidP="003F5462">
            <w:pPr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70730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61 898,7</w:t>
            </w:r>
            <w:r w:rsidRPr="00B70730">
              <w:rPr>
                <w:sz w:val="26"/>
                <w:szCs w:val="26"/>
              </w:rPr>
              <w:t xml:space="preserve"> тыс. рублей;</w:t>
            </w:r>
          </w:p>
          <w:p w:rsidR="00325362" w:rsidRPr="00B70730" w:rsidRDefault="003F5462" w:rsidP="003F5462">
            <w:pPr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B70730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64 374,7</w:t>
            </w:r>
            <w:r w:rsidRPr="00B70730">
              <w:rPr>
                <w:sz w:val="26"/>
                <w:szCs w:val="26"/>
              </w:rPr>
              <w:t xml:space="preserve"> тыс. рублей.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117B6B">
            <w:pPr>
              <w:widowControl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>К концу 202</w:t>
            </w:r>
            <w:r w:rsidR="00543D2D">
              <w:rPr>
                <w:sz w:val="26"/>
                <w:szCs w:val="26"/>
              </w:rPr>
              <w:t>5</w:t>
            </w:r>
            <w:r w:rsidRPr="00B70730">
              <w:rPr>
                <w:sz w:val="26"/>
                <w:szCs w:val="26"/>
              </w:rPr>
              <w:t xml:space="preserve"> года:</w:t>
            </w:r>
          </w:p>
          <w:p w:rsidR="004004DA" w:rsidRPr="00490BF1" w:rsidRDefault="004004DA" w:rsidP="00117B6B">
            <w:pPr>
              <w:widowControl w:val="0"/>
              <w:ind w:firstLine="156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- увеличение объема инвестиций                       в основной капитал с 52,0 млрд. рублей                 </w:t>
            </w:r>
            <w:r w:rsidRPr="00B70730">
              <w:rPr>
                <w:sz w:val="26"/>
                <w:szCs w:val="26"/>
              </w:rPr>
              <w:lastRenderedPageBreak/>
              <w:t xml:space="preserve">в 2019 </w:t>
            </w:r>
            <w:r w:rsidRPr="00490BF1">
              <w:rPr>
                <w:sz w:val="26"/>
                <w:szCs w:val="26"/>
              </w:rPr>
              <w:t xml:space="preserve">году до </w:t>
            </w:r>
            <w:r w:rsidR="00543D2D" w:rsidRPr="00490BF1">
              <w:rPr>
                <w:sz w:val="26"/>
                <w:szCs w:val="26"/>
              </w:rPr>
              <w:t>72,1</w:t>
            </w:r>
            <w:r w:rsidRPr="00490BF1">
              <w:rPr>
                <w:sz w:val="26"/>
                <w:szCs w:val="26"/>
              </w:rPr>
              <w:t xml:space="preserve"> млрд. рублей;</w:t>
            </w:r>
          </w:p>
          <w:p w:rsidR="004004DA" w:rsidRPr="00490BF1" w:rsidRDefault="004004DA" w:rsidP="00117B6B">
            <w:pPr>
              <w:widowControl w:val="0"/>
              <w:ind w:firstLine="156"/>
              <w:rPr>
                <w:sz w:val="26"/>
                <w:szCs w:val="26"/>
              </w:rPr>
            </w:pPr>
            <w:r w:rsidRPr="00490BF1">
              <w:rPr>
                <w:sz w:val="26"/>
                <w:szCs w:val="26"/>
              </w:rPr>
              <w:t xml:space="preserve">- увеличение объема отгруженных товаров собственного производства, выполненных работ и услуг собственными силами (обрабатывающие производства) с 150,8 млрд. рублей в 2019 году до </w:t>
            </w:r>
            <w:r w:rsidR="00B425E6" w:rsidRPr="00490BF1">
              <w:rPr>
                <w:sz w:val="26"/>
                <w:szCs w:val="26"/>
              </w:rPr>
              <w:t>195,0</w:t>
            </w:r>
            <w:r w:rsidRPr="00490BF1">
              <w:rPr>
                <w:sz w:val="26"/>
                <w:szCs w:val="26"/>
              </w:rPr>
              <w:t xml:space="preserve"> млрд. рублей;</w:t>
            </w:r>
          </w:p>
          <w:p w:rsidR="005B07AA" w:rsidRDefault="005B07AA" w:rsidP="00117B6B">
            <w:pPr>
              <w:widowControl w:val="0"/>
              <w:ind w:firstLine="156"/>
              <w:rPr>
                <w:sz w:val="26"/>
                <w:szCs w:val="26"/>
              </w:rPr>
            </w:pPr>
            <w:r w:rsidRPr="00490BF1">
              <w:rPr>
                <w:sz w:val="26"/>
                <w:szCs w:val="26"/>
              </w:rPr>
              <w:t xml:space="preserve">- увеличение среднемесячной заработной платы работников обрабатывающих производств с 64 022 руб. в 2019 году до </w:t>
            </w:r>
            <w:r w:rsidR="00965579" w:rsidRPr="00490BF1">
              <w:rPr>
                <w:sz w:val="26"/>
                <w:szCs w:val="26"/>
              </w:rPr>
              <w:t>96 803,0</w:t>
            </w:r>
            <w:r w:rsidR="00B41698" w:rsidRPr="00490BF1">
              <w:rPr>
                <w:sz w:val="26"/>
                <w:szCs w:val="26"/>
              </w:rPr>
              <w:t xml:space="preserve"> рублей</w:t>
            </w:r>
            <w:r w:rsidRPr="00490BF1">
              <w:rPr>
                <w:sz w:val="26"/>
                <w:szCs w:val="26"/>
              </w:rPr>
              <w:t>;</w:t>
            </w:r>
          </w:p>
          <w:p w:rsidR="00490BF1" w:rsidRPr="00490BF1" w:rsidRDefault="00490BF1" w:rsidP="00490BF1">
            <w:pPr>
              <w:widowControl w:val="0"/>
              <w:ind w:firstLine="156"/>
              <w:jc w:val="both"/>
              <w:rPr>
                <w:sz w:val="26"/>
                <w:szCs w:val="26"/>
              </w:rPr>
            </w:pPr>
            <w:r w:rsidRPr="00490BF1">
              <w:rPr>
                <w:sz w:val="26"/>
                <w:szCs w:val="26"/>
              </w:rPr>
              <w:t>- проведение оценки регулирующего воздействия всех административных регламентов предоставления муниципальных услуг, включенных в инвестиционный стандарт;</w:t>
            </w:r>
          </w:p>
          <w:p w:rsidR="00490BF1" w:rsidRPr="00490BF1" w:rsidRDefault="00490BF1" w:rsidP="00490BF1">
            <w:pPr>
              <w:autoSpaceDE w:val="0"/>
              <w:autoSpaceDN w:val="0"/>
              <w:adjustRightInd w:val="0"/>
              <w:ind w:firstLine="156"/>
              <w:jc w:val="both"/>
              <w:rPr>
                <w:sz w:val="26"/>
                <w:szCs w:val="26"/>
              </w:rPr>
            </w:pPr>
            <w:r w:rsidRPr="00490BF1">
              <w:rPr>
                <w:sz w:val="26"/>
                <w:szCs w:val="26"/>
              </w:rPr>
              <w:t>- разработка новых стратегических и программных документов развития Всеволожского района Ленинградской области, обеспечивающих реализацию комплексных задач развития;</w:t>
            </w:r>
          </w:p>
          <w:p w:rsidR="00490BF1" w:rsidRPr="00490BF1" w:rsidRDefault="00490BF1" w:rsidP="00490BF1">
            <w:pPr>
              <w:widowControl w:val="0"/>
              <w:ind w:firstLine="156"/>
              <w:jc w:val="both"/>
              <w:rPr>
                <w:sz w:val="26"/>
                <w:szCs w:val="26"/>
              </w:rPr>
            </w:pPr>
            <w:r w:rsidRPr="00490BF1">
              <w:rPr>
                <w:sz w:val="26"/>
                <w:szCs w:val="26"/>
              </w:rPr>
              <w:t>- снижение сроков предоставления муниципальных услуг, включенных                          в инвестиционный стандарт;</w:t>
            </w:r>
          </w:p>
          <w:p w:rsidR="004004DA" w:rsidRPr="0013472C" w:rsidRDefault="00490BF1" w:rsidP="00490B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BF1">
              <w:rPr>
                <w:sz w:val="26"/>
                <w:szCs w:val="26"/>
              </w:rPr>
              <w:t>- высокое к</w:t>
            </w:r>
            <w:r w:rsidRPr="00490BF1">
              <w:rPr>
                <w:rFonts w:eastAsiaTheme="minorHAnsi"/>
                <w:sz w:val="26"/>
                <w:szCs w:val="26"/>
                <w:lang w:eastAsia="en-US"/>
              </w:rPr>
              <w:t>ачество утвержденной схемы территориального планирования</w:t>
            </w:r>
            <w:r w:rsidRPr="00490BF1">
              <w:rPr>
                <w:sz w:val="26"/>
                <w:szCs w:val="26"/>
              </w:rPr>
              <w:t>.</w:t>
            </w:r>
          </w:p>
        </w:tc>
      </w:tr>
    </w:tbl>
    <w:p w:rsidR="00CA2CBF" w:rsidRPr="00B70730" w:rsidRDefault="00CA2CBF" w:rsidP="00CA2CBF">
      <w:pPr>
        <w:rPr>
          <w:sz w:val="26"/>
          <w:szCs w:val="26"/>
          <w:lang w:eastAsia="x-none"/>
        </w:rPr>
      </w:pPr>
    </w:p>
    <w:p w:rsidR="00002E24" w:rsidRPr="00B70730" w:rsidRDefault="00002E24" w:rsidP="00002E24">
      <w:pPr>
        <w:jc w:val="center"/>
        <w:rPr>
          <w:sz w:val="26"/>
          <w:szCs w:val="26"/>
        </w:rPr>
      </w:pPr>
    </w:p>
    <w:p w:rsidR="00A944B7" w:rsidRPr="00B70730" w:rsidRDefault="006E33F6" w:rsidP="00A944B7">
      <w:pPr>
        <w:pStyle w:val="25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0730">
        <w:rPr>
          <w:rFonts w:ascii="Times New Roman" w:hAnsi="Times New Roman"/>
          <w:b/>
          <w:sz w:val="26"/>
          <w:szCs w:val="26"/>
        </w:rPr>
        <w:t>Общая характеристика, основные проблемы и пр</w:t>
      </w:r>
      <w:r w:rsidR="00BF68A1" w:rsidRPr="00B70730">
        <w:rPr>
          <w:rFonts w:ascii="Times New Roman" w:hAnsi="Times New Roman"/>
          <w:b/>
          <w:sz w:val="26"/>
          <w:szCs w:val="26"/>
        </w:rPr>
        <w:t>огноз развития сферы реализации</w:t>
      </w:r>
      <w:r w:rsidR="003761A0" w:rsidRPr="00B70730">
        <w:rPr>
          <w:rFonts w:ascii="Times New Roman" w:hAnsi="Times New Roman"/>
          <w:b/>
          <w:sz w:val="26"/>
          <w:szCs w:val="26"/>
        </w:rPr>
        <w:t xml:space="preserve"> </w:t>
      </w:r>
      <w:r w:rsidRPr="00B70730">
        <w:rPr>
          <w:rFonts w:ascii="Times New Roman" w:hAnsi="Times New Roman"/>
          <w:b/>
          <w:sz w:val="26"/>
          <w:szCs w:val="26"/>
        </w:rPr>
        <w:t>программы.</w:t>
      </w:r>
    </w:p>
    <w:p w:rsidR="00A944B7" w:rsidRPr="00B70730" w:rsidRDefault="00A944B7" w:rsidP="00A944B7">
      <w:pPr>
        <w:pStyle w:val="25"/>
        <w:suppressAutoHyphens w:val="0"/>
        <w:autoSpaceDE w:val="0"/>
        <w:autoSpaceDN w:val="0"/>
        <w:adjustRightInd w:val="0"/>
        <w:ind w:left="1260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761A0" w:rsidRPr="00B70730" w:rsidRDefault="003761A0" w:rsidP="003347C2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70730">
        <w:rPr>
          <w:rFonts w:ascii="Times New Roman" w:hAnsi="Times New Roman"/>
          <w:sz w:val="26"/>
          <w:szCs w:val="26"/>
        </w:rPr>
        <w:t>Всеволожский муниципальный район – стратегически важный и инвестиционно привлекательный район Ленинградской области</w:t>
      </w:r>
      <w:r w:rsidR="004A4B04" w:rsidRPr="00B70730">
        <w:rPr>
          <w:rFonts w:ascii="Times New Roman" w:hAnsi="Times New Roman"/>
          <w:sz w:val="26"/>
          <w:szCs w:val="26"/>
        </w:rPr>
        <w:t>,</w:t>
      </w:r>
      <w:r w:rsidRPr="00B70730">
        <w:rPr>
          <w:rFonts w:ascii="Times New Roman" w:hAnsi="Times New Roman"/>
          <w:sz w:val="26"/>
          <w:szCs w:val="26"/>
        </w:rPr>
        <w:t xml:space="preserve"> отличающийся политической и социальной стабильностью</w:t>
      </w:r>
      <w:r w:rsidR="004A4B04" w:rsidRPr="00B70730">
        <w:rPr>
          <w:rFonts w:ascii="Times New Roman" w:hAnsi="Times New Roman"/>
          <w:sz w:val="26"/>
          <w:szCs w:val="26"/>
        </w:rPr>
        <w:t xml:space="preserve">. </w:t>
      </w:r>
    </w:p>
    <w:p w:rsidR="00A0604A" w:rsidRPr="00B70730" w:rsidRDefault="00A0604A" w:rsidP="00A0604A">
      <w:pPr>
        <w:pStyle w:val="Default"/>
        <w:ind w:firstLine="709"/>
        <w:jc w:val="both"/>
        <w:rPr>
          <w:sz w:val="26"/>
          <w:szCs w:val="26"/>
        </w:rPr>
      </w:pPr>
      <w:r w:rsidRPr="00B70730">
        <w:rPr>
          <w:color w:val="auto"/>
          <w:sz w:val="26"/>
          <w:szCs w:val="26"/>
        </w:rPr>
        <w:t>Факторами, повлиявшими на привлекательность инвестиционного климата Всеволожского муниципального Ленинградской области, являются:</w:t>
      </w:r>
    </w:p>
    <w:p w:rsidR="003347C2" w:rsidRPr="00B70730" w:rsidRDefault="00A0604A" w:rsidP="00A0604A">
      <w:pPr>
        <w:ind w:firstLine="708"/>
        <w:jc w:val="both"/>
        <w:rPr>
          <w:sz w:val="26"/>
          <w:szCs w:val="26"/>
        </w:rPr>
      </w:pPr>
      <w:r w:rsidRPr="00B70730">
        <w:rPr>
          <w:sz w:val="26"/>
          <w:szCs w:val="26"/>
        </w:rPr>
        <w:t xml:space="preserve">- </w:t>
      </w:r>
      <w:r w:rsidR="000D0B91" w:rsidRPr="00B70730">
        <w:rPr>
          <w:sz w:val="26"/>
          <w:szCs w:val="26"/>
        </w:rPr>
        <w:t>г</w:t>
      </w:r>
      <w:r w:rsidRPr="00B70730">
        <w:rPr>
          <w:sz w:val="26"/>
          <w:szCs w:val="26"/>
        </w:rPr>
        <w:t>еографическое</w:t>
      </w:r>
      <w:r w:rsidR="003347C2" w:rsidRPr="00B70730">
        <w:rPr>
          <w:sz w:val="26"/>
          <w:szCs w:val="26"/>
        </w:rPr>
        <w:t xml:space="preserve"> положением – близость к Санкт-Петербургу, достаточно развитая транспортная инфраструктура (железные дороги, автодороги – КАД, Кола, Выборг, Приозер</w:t>
      </w:r>
      <w:r w:rsidRPr="00B70730">
        <w:rPr>
          <w:sz w:val="26"/>
          <w:szCs w:val="26"/>
        </w:rPr>
        <w:t>ск);</w:t>
      </w:r>
    </w:p>
    <w:p w:rsidR="00A0604A" w:rsidRPr="00B70730" w:rsidRDefault="00A0604A" w:rsidP="00A0604A">
      <w:pPr>
        <w:ind w:firstLine="708"/>
        <w:jc w:val="both"/>
        <w:rPr>
          <w:sz w:val="26"/>
          <w:szCs w:val="26"/>
        </w:rPr>
      </w:pPr>
      <w:r w:rsidRPr="00B70730">
        <w:rPr>
          <w:sz w:val="26"/>
          <w:szCs w:val="26"/>
        </w:rPr>
        <w:t xml:space="preserve">-    </w:t>
      </w:r>
      <w:r w:rsidR="000D0B91" w:rsidRPr="00B70730">
        <w:rPr>
          <w:sz w:val="26"/>
          <w:szCs w:val="26"/>
        </w:rPr>
        <w:t>м</w:t>
      </w:r>
      <w:r w:rsidRPr="00B70730">
        <w:rPr>
          <w:sz w:val="26"/>
          <w:szCs w:val="26"/>
        </w:rPr>
        <w:t xml:space="preserve">ощный инновационно-промышленный и кадровый потенциал. </w:t>
      </w:r>
    </w:p>
    <w:p w:rsidR="00A0604A" w:rsidRPr="00B70730" w:rsidRDefault="00A0604A" w:rsidP="00A0604A">
      <w:pPr>
        <w:ind w:firstLine="708"/>
        <w:jc w:val="both"/>
        <w:rPr>
          <w:sz w:val="26"/>
          <w:szCs w:val="26"/>
        </w:rPr>
      </w:pPr>
      <w:r w:rsidRPr="00B70730">
        <w:rPr>
          <w:sz w:val="26"/>
          <w:szCs w:val="26"/>
        </w:rPr>
        <w:t xml:space="preserve">-    </w:t>
      </w:r>
      <w:r w:rsidR="000D0B91" w:rsidRPr="00B70730">
        <w:rPr>
          <w:sz w:val="26"/>
          <w:szCs w:val="26"/>
        </w:rPr>
        <w:t>и</w:t>
      </w:r>
      <w:r w:rsidRPr="00B70730">
        <w:rPr>
          <w:sz w:val="26"/>
          <w:szCs w:val="26"/>
        </w:rPr>
        <w:t>нформационная прозрачность и открытость.</w:t>
      </w:r>
    </w:p>
    <w:p w:rsidR="00F31DE7" w:rsidRPr="00B70730" w:rsidRDefault="00F31DE7" w:rsidP="00F31DE7">
      <w:pPr>
        <w:ind w:firstLine="709"/>
        <w:jc w:val="both"/>
        <w:rPr>
          <w:sz w:val="26"/>
          <w:szCs w:val="26"/>
        </w:rPr>
      </w:pPr>
      <w:r w:rsidRPr="00B70730">
        <w:rPr>
          <w:sz w:val="26"/>
          <w:szCs w:val="26"/>
        </w:rPr>
        <w:t xml:space="preserve">На протяжении последних лет Всеволожский район прочно удерживает одно из лидирующих мест в Ленинградской области по темпам социально-экономического развития и инвестиционной привлекательности. </w:t>
      </w:r>
    </w:p>
    <w:p w:rsidR="00692614" w:rsidRPr="00B70730" w:rsidRDefault="00C265ED" w:rsidP="00C265ED">
      <w:pPr>
        <w:shd w:val="clear" w:color="auto" w:fill="FFFFFF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70730">
        <w:rPr>
          <w:sz w:val="26"/>
          <w:szCs w:val="26"/>
        </w:rPr>
        <w:t xml:space="preserve">Численность постоянного населения составляет </w:t>
      </w:r>
      <w:r w:rsidRPr="00B70730">
        <w:rPr>
          <w:rFonts w:eastAsia="Calibri"/>
          <w:sz w:val="26"/>
          <w:szCs w:val="26"/>
          <w:lang w:eastAsia="en-US"/>
        </w:rPr>
        <w:t>более 40</w:t>
      </w:r>
      <w:r w:rsidR="00E32FBC">
        <w:rPr>
          <w:rFonts w:eastAsia="Calibri"/>
          <w:sz w:val="26"/>
          <w:szCs w:val="26"/>
          <w:lang w:eastAsia="en-US"/>
        </w:rPr>
        <w:t>0</w:t>
      </w:r>
      <w:r w:rsidRPr="00B70730">
        <w:rPr>
          <w:rFonts w:eastAsia="Calibri"/>
          <w:sz w:val="26"/>
          <w:szCs w:val="26"/>
          <w:lang w:eastAsia="en-US"/>
        </w:rPr>
        <w:t xml:space="preserve"> тыс. человек, Всеволожский район является самым крупным по численности населения не только </w:t>
      </w:r>
      <w:r w:rsidR="00E32FBC">
        <w:rPr>
          <w:rFonts w:eastAsia="Calibri"/>
          <w:sz w:val="26"/>
          <w:szCs w:val="26"/>
          <w:lang w:eastAsia="en-US"/>
        </w:rPr>
        <w:t xml:space="preserve">            </w:t>
      </w:r>
      <w:r w:rsidRPr="00B70730">
        <w:rPr>
          <w:rFonts w:eastAsia="Calibri"/>
          <w:sz w:val="26"/>
          <w:szCs w:val="26"/>
          <w:lang w:eastAsia="en-US"/>
        </w:rPr>
        <w:t>в Ленинградской области, но и в Российской Федерации.</w:t>
      </w:r>
    </w:p>
    <w:p w:rsidR="00C02954" w:rsidRPr="004171A0" w:rsidRDefault="00C265ED" w:rsidP="00C02954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02954">
        <w:rPr>
          <w:rFonts w:eastAsia="Calibri"/>
          <w:sz w:val="26"/>
          <w:szCs w:val="26"/>
          <w:lang w:eastAsia="en-US"/>
        </w:rPr>
        <w:t xml:space="preserve"> </w:t>
      </w:r>
      <w:r w:rsidR="00C02954" w:rsidRPr="004171A0">
        <w:rPr>
          <w:color w:val="000000"/>
          <w:sz w:val="26"/>
          <w:szCs w:val="26"/>
          <w:shd w:val="clear" w:color="auto" w:fill="FFFFFF"/>
        </w:rPr>
        <w:t xml:space="preserve">Распространения в 2020 году коронавирусной инфекции </w:t>
      </w:r>
      <w:r w:rsidR="00C02954" w:rsidRPr="004171A0">
        <w:rPr>
          <w:color w:val="333333"/>
          <w:sz w:val="26"/>
          <w:szCs w:val="26"/>
          <w:shd w:val="clear" w:color="auto" w:fill="FFFFFF"/>
        </w:rPr>
        <w:t xml:space="preserve">COVID-19 </w:t>
      </w:r>
      <w:r w:rsidR="00C02954" w:rsidRPr="004171A0">
        <w:rPr>
          <w:color w:val="000000"/>
          <w:sz w:val="26"/>
          <w:szCs w:val="26"/>
          <w:shd w:val="clear" w:color="auto" w:fill="FFFFFF"/>
        </w:rPr>
        <w:t>и ограничительные меры внесли существенные коррективы и сказались на ситуации в сферах труда и занятости.</w:t>
      </w:r>
    </w:p>
    <w:p w:rsidR="00C02954" w:rsidRPr="004171A0" w:rsidRDefault="00C02954" w:rsidP="00C02954">
      <w:pPr>
        <w:ind w:firstLine="708"/>
        <w:jc w:val="both"/>
        <w:rPr>
          <w:sz w:val="26"/>
          <w:szCs w:val="26"/>
        </w:rPr>
      </w:pPr>
      <w:r w:rsidRPr="004171A0">
        <w:rPr>
          <w:sz w:val="26"/>
          <w:szCs w:val="26"/>
        </w:rPr>
        <w:lastRenderedPageBreak/>
        <w:t xml:space="preserve"> В течении всего периода наблюдался прирост обращений граждан в центр занятости населения и уменьшение количества свободных рабочих мест. Резко увеличился уровень безработицы с 0,3% в первом квартале до 4,1% во втором квартале.</w:t>
      </w:r>
    </w:p>
    <w:p w:rsidR="00C02954" w:rsidRPr="004171A0" w:rsidRDefault="00C02954" w:rsidP="00C02954">
      <w:pPr>
        <w:jc w:val="both"/>
        <w:rPr>
          <w:sz w:val="26"/>
          <w:szCs w:val="26"/>
        </w:rPr>
      </w:pPr>
      <w:r w:rsidRPr="004171A0">
        <w:rPr>
          <w:sz w:val="26"/>
          <w:szCs w:val="26"/>
        </w:rPr>
        <w:tab/>
        <w:t xml:space="preserve">За </w:t>
      </w:r>
      <w:r w:rsidR="00726A7A" w:rsidRPr="004171A0">
        <w:rPr>
          <w:sz w:val="26"/>
          <w:szCs w:val="26"/>
        </w:rPr>
        <w:t>1 полугодие</w:t>
      </w:r>
      <w:r w:rsidRPr="004171A0">
        <w:rPr>
          <w:sz w:val="26"/>
          <w:szCs w:val="26"/>
        </w:rPr>
        <w:t xml:space="preserve"> 2020 года в службу занятости района обратилось 10</w:t>
      </w:r>
      <w:r w:rsidR="00726A7A" w:rsidRPr="004171A0">
        <w:rPr>
          <w:sz w:val="26"/>
          <w:szCs w:val="26"/>
        </w:rPr>
        <w:t xml:space="preserve"> </w:t>
      </w:r>
      <w:r w:rsidRPr="004171A0">
        <w:rPr>
          <w:sz w:val="26"/>
          <w:szCs w:val="26"/>
        </w:rPr>
        <w:t xml:space="preserve">881 человек, ищущих работу. Это в 6 раз больше по сравнению с аналогичным периодом 2019 года. Уменьшился процент трудоустройства граждан при содействии службы занятости. </w:t>
      </w:r>
    </w:p>
    <w:p w:rsidR="00D32A54" w:rsidRPr="00BE305A" w:rsidRDefault="00C02954" w:rsidP="00D32A54">
      <w:pPr>
        <w:ind w:firstLine="708"/>
        <w:jc w:val="both"/>
        <w:rPr>
          <w:sz w:val="28"/>
          <w:szCs w:val="28"/>
        </w:rPr>
      </w:pPr>
      <w:r w:rsidRPr="004171A0">
        <w:rPr>
          <w:sz w:val="26"/>
          <w:szCs w:val="26"/>
        </w:rPr>
        <w:t>На 1 июля 2020 года состоит на учете в центре занятости населения Всеволожского района 8369 граждан, имеющих статус безработного. Это 20 раз больше, чем на 1 апреля 2019 года</w:t>
      </w:r>
      <w:r w:rsidRPr="004171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5ED" w:rsidRPr="00B70730" w:rsidRDefault="006B02F5" w:rsidP="00C265ED">
      <w:pPr>
        <w:shd w:val="clear" w:color="auto" w:fill="FFFFFF"/>
        <w:ind w:firstLine="720"/>
        <w:jc w:val="both"/>
        <w:rPr>
          <w:sz w:val="26"/>
          <w:szCs w:val="26"/>
        </w:rPr>
      </w:pPr>
      <w:r w:rsidRPr="00B70730">
        <w:rPr>
          <w:sz w:val="26"/>
          <w:szCs w:val="26"/>
        </w:rPr>
        <w:t>С</w:t>
      </w:r>
      <w:r w:rsidR="006E1226" w:rsidRPr="00B70730">
        <w:rPr>
          <w:sz w:val="26"/>
          <w:szCs w:val="26"/>
        </w:rPr>
        <w:t>реднемесячная начисленная заработная плата работников</w:t>
      </w:r>
      <w:r w:rsidR="00EA3A20">
        <w:rPr>
          <w:sz w:val="26"/>
          <w:szCs w:val="26"/>
        </w:rPr>
        <w:t xml:space="preserve"> остается</w:t>
      </w:r>
      <w:r w:rsidR="007C07B1" w:rsidRPr="00B70730">
        <w:rPr>
          <w:sz w:val="26"/>
          <w:szCs w:val="26"/>
        </w:rPr>
        <w:t xml:space="preserve"> </w:t>
      </w:r>
      <w:r w:rsidR="00EA3A20">
        <w:rPr>
          <w:sz w:val="26"/>
          <w:szCs w:val="26"/>
        </w:rPr>
        <w:t>одной</w:t>
      </w:r>
      <w:r w:rsidR="006E1226" w:rsidRPr="00B70730">
        <w:rPr>
          <w:sz w:val="26"/>
          <w:szCs w:val="26"/>
        </w:rPr>
        <w:t xml:space="preserve"> из самых высоких по Ленинградской области</w:t>
      </w:r>
      <w:r w:rsidR="0085092F" w:rsidRPr="00B70730">
        <w:rPr>
          <w:sz w:val="26"/>
          <w:szCs w:val="26"/>
        </w:rPr>
        <w:t xml:space="preserve"> (по данным 2019 года – 55 264 руб.)</w:t>
      </w:r>
      <w:r w:rsidR="00692614" w:rsidRPr="00B70730">
        <w:rPr>
          <w:sz w:val="26"/>
          <w:szCs w:val="26"/>
        </w:rPr>
        <w:t xml:space="preserve">. </w:t>
      </w:r>
    </w:p>
    <w:p w:rsidR="00E824EB" w:rsidRPr="00B70730" w:rsidRDefault="000D0B91" w:rsidP="000D0B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0730">
        <w:rPr>
          <w:sz w:val="26"/>
          <w:szCs w:val="26"/>
        </w:rPr>
        <w:t xml:space="preserve">Промышленность является базовой отраслью экономики Всеволожского муниципального района. </w:t>
      </w:r>
    </w:p>
    <w:p w:rsidR="00C265ED" w:rsidRDefault="000D0B91" w:rsidP="00216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730">
        <w:rPr>
          <w:sz w:val="26"/>
          <w:szCs w:val="26"/>
        </w:rPr>
        <w:t>Объем отгруженных товаров собственного производства, выполнено работ и услуг, полученные промышленными предприятиями муниципального образо</w:t>
      </w:r>
      <w:r w:rsidR="00B70730">
        <w:rPr>
          <w:sz w:val="26"/>
          <w:szCs w:val="26"/>
        </w:rPr>
        <w:t xml:space="preserve">вания за 2019 год составил </w:t>
      </w:r>
      <w:r w:rsidR="00AF06B0">
        <w:rPr>
          <w:sz w:val="26"/>
          <w:szCs w:val="26"/>
        </w:rPr>
        <w:t>162,1</w:t>
      </w:r>
      <w:r w:rsidR="00B70730">
        <w:rPr>
          <w:sz w:val="26"/>
          <w:szCs w:val="26"/>
        </w:rPr>
        <w:t xml:space="preserve"> млрд. рублей, что на </w:t>
      </w:r>
      <w:r w:rsidRPr="00B70730">
        <w:rPr>
          <w:sz w:val="26"/>
          <w:szCs w:val="26"/>
        </w:rPr>
        <w:t>5 % выше уровня 2018 года. Доля предприятий промышленности в общем объеме о</w:t>
      </w:r>
      <w:r w:rsidR="0089626C" w:rsidRPr="00B70730">
        <w:rPr>
          <w:sz w:val="26"/>
          <w:szCs w:val="26"/>
        </w:rPr>
        <w:t>тгруженных товаров составила 74,9</w:t>
      </w:r>
      <w:r w:rsidRPr="00B70730">
        <w:rPr>
          <w:sz w:val="26"/>
          <w:szCs w:val="26"/>
        </w:rPr>
        <w:t>%.</w:t>
      </w:r>
      <w:r w:rsidR="00C265ED" w:rsidRPr="008A4842">
        <w:rPr>
          <w:noProof/>
        </w:rPr>
        <w:drawing>
          <wp:inline distT="0" distB="0" distL="0" distR="0">
            <wp:extent cx="6086475" cy="39528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65ED" w:rsidRDefault="00C265ED" w:rsidP="000D0B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B91" w:rsidRPr="00EF4682" w:rsidRDefault="000D0B91" w:rsidP="000D0B91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EF4682">
        <w:rPr>
          <w:kern w:val="1"/>
          <w:sz w:val="26"/>
          <w:szCs w:val="26"/>
          <w:lang w:eastAsia="ar-SA"/>
        </w:rPr>
        <w:t>В 2019 году промышленный комплекс Всеволожского</w:t>
      </w:r>
      <w:r w:rsidRPr="00EF4682">
        <w:rPr>
          <w:sz w:val="26"/>
          <w:szCs w:val="26"/>
        </w:rPr>
        <w:t xml:space="preserve"> муниципального</w:t>
      </w:r>
      <w:r w:rsidRPr="00EF4682">
        <w:rPr>
          <w:kern w:val="1"/>
          <w:sz w:val="26"/>
          <w:szCs w:val="26"/>
          <w:lang w:eastAsia="ar-SA"/>
        </w:rPr>
        <w:t xml:space="preserve"> района Ленинградской области представлен более чем </w:t>
      </w:r>
      <w:r w:rsidR="001C686C" w:rsidRPr="00EF4682">
        <w:rPr>
          <w:kern w:val="1"/>
          <w:sz w:val="26"/>
          <w:szCs w:val="26"/>
          <w:lang w:eastAsia="ar-SA"/>
        </w:rPr>
        <w:t>2</w:t>
      </w:r>
      <w:r w:rsidR="00D8477A">
        <w:rPr>
          <w:kern w:val="1"/>
          <w:sz w:val="26"/>
          <w:szCs w:val="26"/>
          <w:lang w:eastAsia="ar-SA"/>
        </w:rPr>
        <w:t>0</w:t>
      </w:r>
      <w:r w:rsidRPr="00EF4682">
        <w:rPr>
          <w:kern w:val="1"/>
          <w:sz w:val="26"/>
          <w:szCs w:val="26"/>
          <w:lang w:eastAsia="ar-SA"/>
        </w:rPr>
        <w:t xml:space="preserve">0 крупными и средними предприятиями различных видов экономической деятельности. </w:t>
      </w:r>
    </w:p>
    <w:p w:rsidR="000D0B91" w:rsidRPr="00EF4682" w:rsidRDefault="000D0B91" w:rsidP="000D0B91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EF4682">
        <w:rPr>
          <w:kern w:val="1"/>
          <w:sz w:val="26"/>
          <w:szCs w:val="26"/>
          <w:lang w:eastAsia="ar-SA"/>
        </w:rPr>
        <w:t xml:space="preserve">Промышленными предприятиями выпускаются следующие виды продукции: шины для легковых автомобилей, </w:t>
      </w:r>
      <w:r w:rsidR="00EF4682">
        <w:rPr>
          <w:kern w:val="1"/>
          <w:sz w:val="26"/>
          <w:szCs w:val="26"/>
          <w:lang w:eastAsia="ar-SA"/>
        </w:rPr>
        <w:t xml:space="preserve">бумага, картон, </w:t>
      </w:r>
      <w:r w:rsidRPr="00EF4682">
        <w:rPr>
          <w:kern w:val="1"/>
          <w:sz w:val="26"/>
          <w:szCs w:val="26"/>
          <w:lang w:eastAsia="ar-SA"/>
        </w:rPr>
        <w:t>нерудные строительные материалы</w:t>
      </w:r>
      <w:r w:rsidR="00BF1FD0">
        <w:rPr>
          <w:kern w:val="1"/>
          <w:sz w:val="26"/>
          <w:szCs w:val="26"/>
          <w:lang w:eastAsia="ar-SA"/>
        </w:rPr>
        <w:t>, продукция пищевой и химической промышленности, электроприборы</w:t>
      </w:r>
      <w:r w:rsidRPr="00EF4682">
        <w:rPr>
          <w:kern w:val="1"/>
          <w:sz w:val="26"/>
          <w:szCs w:val="26"/>
          <w:lang w:eastAsia="ar-SA"/>
        </w:rPr>
        <w:t xml:space="preserve"> и др.</w:t>
      </w:r>
    </w:p>
    <w:p w:rsidR="000D0B91" w:rsidRPr="00EF4682" w:rsidRDefault="000D0B91" w:rsidP="00EF4682">
      <w:pPr>
        <w:ind w:firstLine="709"/>
        <w:jc w:val="both"/>
        <w:rPr>
          <w:sz w:val="26"/>
          <w:szCs w:val="26"/>
        </w:rPr>
      </w:pPr>
      <w:r w:rsidRPr="00EF4682">
        <w:rPr>
          <w:sz w:val="26"/>
          <w:szCs w:val="26"/>
        </w:rPr>
        <w:t xml:space="preserve">Основу промышленного комплекса Всеволожского муниципального района Ленинградской области составляют </w:t>
      </w:r>
      <w:r w:rsidR="00EE2235">
        <w:rPr>
          <w:sz w:val="26"/>
          <w:szCs w:val="26"/>
        </w:rPr>
        <w:t>обрабатывающие производства (93</w:t>
      </w:r>
      <w:r w:rsidRPr="00EF4682">
        <w:rPr>
          <w:sz w:val="26"/>
          <w:szCs w:val="26"/>
        </w:rPr>
        <w:t xml:space="preserve"> % в общем объеме отгруженных товаров промышленного производст</w:t>
      </w:r>
      <w:r w:rsidR="00EF4682">
        <w:rPr>
          <w:sz w:val="26"/>
          <w:szCs w:val="26"/>
        </w:rPr>
        <w:t xml:space="preserve">ва области по состоянию на 2019 </w:t>
      </w:r>
      <w:r w:rsidRPr="00EF4682">
        <w:rPr>
          <w:sz w:val="26"/>
          <w:szCs w:val="26"/>
        </w:rPr>
        <w:t xml:space="preserve">год). Среднесписочная численность работников </w:t>
      </w:r>
      <w:r w:rsidRPr="00EF4682">
        <w:rPr>
          <w:sz w:val="26"/>
          <w:szCs w:val="26"/>
        </w:rPr>
        <w:br/>
      </w:r>
      <w:r w:rsidRPr="00EF4682">
        <w:rPr>
          <w:sz w:val="26"/>
          <w:szCs w:val="26"/>
        </w:rPr>
        <w:lastRenderedPageBreak/>
        <w:t xml:space="preserve">14,9 тыс. чел. Средняя заработная плата в 2019 году составила </w:t>
      </w:r>
      <w:r w:rsidRPr="00EF4682">
        <w:rPr>
          <w:sz w:val="26"/>
          <w:szCs w:val="26"/>
        </w:rPr>
        <w:br/>
        <w:t>64,0 тыс. рублей, что на 8,7 тыс. рублей больше, чем в среднем по району.</w:t>
      </w:r>
    </w:p>
    <w:p w:rsidR="00EA1EB1" w:rsidRPr="00EF4682" w:rsidRDefault="00EA1EB1" w:rsidP="002F70A2">
      <w:pPr>
        <w:ind w:firstLine="709"/>
        <w:jc w:val="both"/>
        <w:rPr>
          <w:sz w:val="26"/>
          <w:szCs w:val="26"/>
        </w:rPr>
      </w:pPr>
      <w:r w:rsidRPr="00EF4682">
        <w:rPr>
          <w:sz w:val="26"/>
          <w:szCs w:val="26"/>
        </w:rPr>
        <w:t>За 2019 год объем инвестиций в основной капитал составил 52021,2 млн. рублей.</w:t>
      </w:r>
      <w:r w:rsidR="002F70A2" w:rsidRPr="00EF4682">
        <w:rPr>
          <w:sz w:val="26"/>
          <w:szCs w:val="26"/>
        </w:rPr>
        <w:t xml:space="preserve"> Лучший показатель по Ленинградской области.</w:t>
      </w:r>
    </w:p>
    <w:p w:rsidR="007B5724" w:rsidRPr="00EF4682" w:rsidRDefault="007B5724" w:rsidP="002F70A2">
      <w:pPr>
        <w:ind w:firstLine="709"/>
        <w:jc w:val="both"/>
        <w:rPr>
          <w:sz w:val="26"/>
          <w:szCs w:val="26"/>
        </w:rPr>
      </w:pPr>
      <w:r w:rsidRPr="00EF4682">
        <w:rPr>
          <w:sz w:val="26"/>
          <w:szCs w:val="26"/>
        </w:rPr>
        <w:t>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41,7 % или 21,7 млр</w:t>
      </w:r>
      <w:r w:rsidR="00843B38" w:rsidRPr="00EF4682">
        <w:rPr>
          <w:sz w:val="26"/>
          <w:szCs w:val="26"/>
        </w:rPr>
        <w:t>д</w:t>
      </w:r>
      <w:r w:rsidRPr="00EF4682">
        <w:rPr>
          <w:sz w:val="26"/>
          <w:szCs w:val="26"/>
        </w:rPr>
        <w:t xml:space="preserve">. рублей. Объем привлеченных средств с начала года — </w:t>
      </w:r>
      <w:r w:rsidRPr="00EF4682">
        <w:rPr>
          <w:rFonts w:eastAsia="Arial"/>
          <w:sz w:val="26"/>
          <w:szCs w:val="26"/>
        </w:rPr>
        <w:t>30</w:t>
      </w:r>
      <w:r w:rsidR="0033638C" w:rsidRPr="00EF4682">
        <w:rPr>
          <w:rFonts w:eastAsia="Arial"/>
          <w:sz w:val="26"/>
          <w:szCs w:val="26"/>
        </w:rPr>
        <w:t xml:space="preserve">,4 </w:t>
      </w:r>
      <w:r w:rsidR="0033638C" w:rsidRPr="00EF4682">
        <w:rPr>
          <w:sz w:val="26"/>
          <w:szCs w:val="26"/>
        </w:rPr>
        <w:t>млр</w:t>
      </w:r>
      <w:r w:rsidR="00843B38" w:rsidRPr="00EF4682">
        <w:rPr>
          <w:sz w:val="26"/>
          <w:szCs w:val="26"/>
        </w:rPr>
        <w:t>д</w:t>
      </w:r>
      <w:r w:rsidRPr="00EF4682">
        <w:rPr>
          <w:sz w:val="26"/>
          <w:szCs w:val="26"/>
        </w:rPr>
        <w:t>. рублей.</w:t>
      </w:r>
    </w:p>
    <w:p w:rsidR="00A0604A" w:rsidRPr="00EF4682" w:rsidRDefault="00ED241F" w:rsidP="00A0604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4682">
        <w:rPr>
          <w:color w:val="auto"/>
          <w:sz w:val="26"/>
          <w:szCs w:val="26"/>
        </w:rPr>
        <w:t xml:space="preserve">Большой </w:t>
      </w:r>
      <w:r w:rsidR="00A0604A" w:rsidRPr="00EF4682">
        <w:rPr>
          <w:color w:val="auto"/>
          <w:sz w:val="26"/>
          <w:szCs w:val="26"/>
        </w:rPr>
        <w:t>удельный вес в общем объеме инвестиций в настоящее время</w:t>
      </w:r>
      <w:r w:rsidRPr="00EF4682">
        <w:rPr>
          <w:color w:val="auto"/>
          <w:sz w:val="26"/>
          <w:szCs w:val="26"/>
        </w:rPr>
        <w:t xml:space="preserve"> также </w:t>
      </w:r>
      <w:r w:rsidR="00A0604A" w:rsidRPr="00EF4682">
        <w:rPr>
          <w:color w:val="auto"/>
          <w:sz w:val="26"/>
          <w:szCs w:val="26"/>
        </w:rPr>
        <w:t xml:space="preserve">занимают инвестиции в </w:t>
      </w:r>
      <w:r w:rsidR="00462BCF" w:rsidRPr="00EF4682">
        <w:rPr>
          <w:color w:val="auto"/>
          <w:sz w:val="26"/>
          <w:szCs w:val="26"/>
        </w:rPr>
        <w:t>обраб</w:t>
      </w:r>
      <w:r w:rsidRPr="00EF4682">
        <w:rPr>
          <w:color w:val="auto"/>
          <w:sz w:val="26"/>
          <w:szCs w:val="26"/>
        </w:rPr>
        <w:t>атывающие производства</w:t>
      </w:r>
      <w:r w:rsidR="00A0604A" w:rsidRPr="00EF4682">
        <w:rPr>
          <w:color w:val="auto"/>
          <w:sz w:val="26"/>
          <w:szCs w:val="26"/>
        </w:rPr>
        <w:t>.</w:t>
      </w:r>
    </w:p>
    <w:p w:rsidR="00ED241F" w:rsidRPr="00A0604A" w:rsidRDefault="00ED241F" w:rsidP="00A0604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62BCF" w:rsidRPr="00EA1EB1" w:rsidRDefault="00ED241F" w:rsidP="00ED241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1BDF02E" wp14:editId="63A889EA">
            <wp:extent cx="5866765" cy="3619500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02E6" w:rsidRDefault="004E02E6" w:rsidP="00A87165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4E02E6" w:rsidRDefault="004E02E6" w:rsidP="00A87165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9574CD" w:rsidRDefault="00A87165" w:rsidP="00A87165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DF6EEB">
        <w:rPr>
          <w:rFonts w:ascii="Times New Roman" w:hAnsi="Times New Roman"/>
          <w:sz w:val="26"/>
          <w:szCs w:val="26"/>
        </w:rPr>
        <w:t>При</w:t>
      </w:r>
      <w:r w:rsidR="00423232" w:rsidRPr="00DF6EEB">
        <w:rPr>
          <w:rFonts w:ascii="Times New Roman" w:hAnsi="Times New Roman"/>
          <w:sz w:val="26"/>
          <w:szCs w:val="26"/>
        </w:rPr>
        <w:t>влечение инвестиций в экономику</w:t>
      </w:r>
      <w:r w:rsidR="00BF1FD0">
        <w:rPr>
          <w:rFonts w:ascii="Times New Roman" w:hAnsi="Times New Roman"/>
          <w:sz w:val="26"/>
          <w:szCs w:val="26"/>
        </w:rPr>
        <w:t xml:space="preserve"> </w:t>
      </w:r>
      <w:r w:rsidRPr="00DF6EEB">
        <w:rPr>
          <w:rFonts w:ascii="Times New Roman" w:hAnsi="Times New Roman"/>
          <w:sz w:val="26"/>
          <w:szCs w:val="26"/>
        </w:rPr>
        <w:t xml:space="preserve">– одно из основных направлений </w:t>
      </w:r>
      <w:r w:rsidR="00BF1FD0">
        <w:rPr>
          <w:rFonts w:ascii="Times New Roman" w:hAnsi="Times New Roman"/>
          <w:sz w:val="26"/>
          <w:szCs w:val="26"/>
        </w:rPr>
        <w:t xml:space="preserve">                         </w:t>
      </w:r>
      <w:r w:rsidRPr="00DF6EEB">
        <w:rPr>
          <w:rFonts w:ascii="Times New Roman" w:hAnsi="Times New Roman"/>
          <w:sz w:val="26"/>
          <w:szCs w:val="26"/>
        </w:rPr>
        <w:t xml:space="preserve">в деятельности </w:t>
      </w:r>
      <w:r w:rsidR="00423232" w:rsidRPr="00DF6EEB">
        <w:rPr>
          <w:rFonts w:ascii="Times New Roman" w:hAnsi="Times New Roman"/>
          <w:sz w:val="26"/>
          <w:szCs w:val="26"/>
        </w:rPr>
        <w:t>администрации Всеволожского района</w:t>
      </w:r>
      <w:r w:rsidRPr="00DF6EEB">
        <w:rPr>
          <w:rFonts w:ascii="Times New Roman" w:hAnsi="Times New Roman"/>
          <w:sz w:val="26"/>
          <w:szCs w:val="26"/>
        </w:rPr>
        <w:t>.</w:t>
      </w:r>
    </w:p>
    <w:p w:rsidR="009574CD" w:rsidRPr="00AC78CB" w:rsidRDefault="009574CD" w:rsidP="009574CD">
      <w:pPr>
        <w:tabs>
          <w:tab w:val="left" w:pos="851"/>
        </w:tabs>
        <w:jc w:val="both"/>
        <w:rPr>
          <w:sz w:val="26"/>
          <w:szCs w:val="26"/>
        </w:rPr>
      </w:pPr>
      <w:r w:rsidRPr="00AC78CB">
        <w:rPr>
          <w:sz w:val="26"/>
          <w:szCs w:val="26"/>
        </w:rPr>
        <w:tab/>
        <w:t>Важными инвестиционными проектами является создание на территории Всеволожского района ряда индустриальных парков, инфраструктурно-подготовленных для создания на них предприятий различной отраслевой направленности:</w:t>
      </w:r>
    </w:p>
    <w:p w:rsidR="009574CD" w:rsidRPr="00AC78CB" w:rsidRDefault="009574CD" w:rsidP="009574CD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AC78CB">
        <w:rPr>
          <w:sz w:val="26"/>
          <w:szCs w:val="26"/>
        </w:rPr>
        <w:t xml:space="preserve">- </w:t>
      </w:r>
      <w:r w:rsidRPr="00AC78CB">
        <w:rPr>
          <w:sz w:val="26"/>
          <w:szCs w:val="26"/>
        </w:rPr>
        <w:tab/>
      </w:r>
      <w:r w:rsidRPr="00AC78CB">
        <w:rPr>
          <w:color w:val="000000" w:themeColor="text1"/>
          <w:sz w:val="26"/>
          <w:szCs w:val="26"/>
        </w:rPr>
        <w:t>Индустриальный парк "Кола" расположен на территории Всеволожского муниципального района Ленинградской области в районе пересечения Мурманского шоссе (Р-21) и Кольцевой Автомобильной Дороги.</w:t>
      </w:r>
    </w:p>
    <w:p w:rsidR="009574CD" w:rsidRPr="00AC78CB" w:rsidRDefault="009574CD" w:rsidP="009574CD">
      <w:pPr>
        <w:shd w:val="clear" w:color="auto" w:fill="FFFFFF"/>
        <w:ind w:left="66"/>
        <w:jc w:val="both"/>
        <w:rPr>
          <w:sz w:val="26"/>
          <w:szCs w:val="26"/>
        </w:rPr>
      </w:pPr>
      <w:r w:rsidRPr="00AC78CB">
        <w:rPr>
          <w:color w:val="000000" w:themeColor="text1"/>
          <w:sz w:val="26"/>
          <w:szCs w:val="26"/>
        </w:rPr>
        <w:t xml:space="preserve">- </w:t>
      </w:r>
      <w:r w:rsidRPr="00AC78CB">
        <w:rPr>
          <w:color w:val="000000" w:themeColor="text1"/>
          <w:sz w:val="26"/>
          <w:szCs w:val="26"/>
        </w:rPr>
        <w:tab/>
        <w:t>Индустриальный парк «Приневский»</w:t>
      </w:r>
      <w:r w:rsidRPr="00AC78CB">
        <w:rPr>
          <w:b/>
          <w:color w:val="000000" w:themeColor="text1"/>
          <w:sz w:val="26"/>
          <w:szCs w:val="26"/>
        </w:rPr>
        <w:t xml:space="preserve"> </w:t>
      </w:r>
      <w:r w:rsidRPr="00AC78CB">
        <w:rPr>
          <w:color w:val="000000" w:themeColor="text1"/>
          <w:sz w:val="26"/>
          <w:szCs w:val="26"/>
        </w:rPr>
        <w:t xml:space="preserve">расположен во </w:t>
      </w:r>
      <w:r w:rsidRPr="00AC78CB">
        <w:rPr>
          <w:sz w:val="26"/>
          <w:szCs w:val="26"/>
        </w:rPr>
        <w:t xml:space="preserve">Всеволожском районе, Заневское сельское поселение, 800 м юго-восточнее д. Новосергиевка. - </w:t>
      </w:r>
      <w:r w:rsidRPr="00AC78CB">
        <w:rPr>
          <w:sz w:val="26"/>
          <w:szCs w:val="26"/>
        </w:rPr>
        <w:tab/>
      </w:r>
      <w:r w:rsidRPr="00AC78CB">
        <w:rPr>
          <w:color w:val="000000" w:themeColor="text1"/>
          <w:sz w:val="26"/>
          <w:szCs w:val="26"/>
        </w:rPr>
        <w:t xml:space="preserve">Индустриальный парк «Уткина Заводь» расположен во </w:t>
      </w:r>
      <w:r w:rsidRPr="00AC78CB">
        <w:rPr>
          <w:sz w:val="26"/>
          <w:szCs w:val="26"/>
        </w:rPr>
        <w:t xml:space="preserve">Всеволожском районе, Свердловское городское поселение, д. Новосаратовка, центральное отделение. </w:t>
      </w:r>
    </w:p>
    <w:p w:rsidR="009574CD" w:rsidRPr="00AC78CB" w:rsidRDefault="009574CD" w:rsidP="009574CD">
      <w:pPr>
        <w:shd w:val="clear" w:color="auto" w:fill="FFFFFF"/>
        <w:ind w:left="66"/>
        <w:jc w:val="both"/>
        <w:rPr>
          <w:color w:val="000000" w:themeColor="text1"/>
          <w:sz w:val="26"/>
          <w:szCs w:val="26"/>
        </w:rPr>
      </w:pPr>
      <w:r w:rsidRPr="00AC78CB">
        <w:rPr>
          <w:sz w:val="26"/>
          <w:szCs w:val="26"/>
        </w:rPr>
        <w:t xml:space="preserve">- </w:t>
      </w:r>
      <w:r w:rsidRPr="00AC78CB">
        <w:rPr>
          <w:sz w:val="26"/>
          <w:szCs w:val="26"/>
        </w:rPr>
        <w:tab/>
      </w:r>
      <w:r w:rsidRPr="00AC78CB">
        <w:rPr>
          <w:color w:val="000000" w:themeColor="text1"/>
          <w:sz w:val="26"/>
          <w:szCs w:val="26"/>
        </w:rPr>
        <w:t>Индустриальный парк «Янино-Восток» расположен во Всеволожском районе, участок Янино-2. Расстояние до Санкт-Петербурга – 6 км, до аэропорта Пулково – 32 км, примыкает к Колтушскому шоссе.</w:t>
      </w:r>
    </w:p>
    <w:p w:rsidR="009574CD" w:rsidRPr="00AC78CB" w:rsidRDefault="009574CD" w:rsidP="00497CC1">
      <w:pPr>
        <w:shd w:val="clear" w:color="auto" w:fill="FFFFFF"/>
        <w:ind w:left="66"/>
        <w:jc w:val="both"/>
        <w:rPr>
          <w:sz w:val="26"/>
          <w:szCs w:val="26"/>
        </w:rPr>
      </w:pPr>
      <w:r w:rsidRPr="00AC78CB">
        <w:rPr>
          <w:color w:val="000000" w:themeColor="text1"/>
          <w:sz w:val="26"/>
          <w:szCs w:val="26"/>
        </w:rPr>
        <w:t xml:space="preserve">- </w:t>
      </w:r>
      <w:r w:rsidRPr="00AC78CB">
        <w:rPr>
          <w:color w:val="000000" w:themeColor="text1"/>
          <w:sz w:val="26"/>
          <w:szCs w:val="26"/>
        </w:rPr>
        <w:tab/>
        <w:t xml:space="preserve">В июле 2020 года </w:t>
      </w:r>
      <w:r w:rsidRPr="00AC78CB">
        <w:rPr>
          <w:sz w:val="26"/>
          <w:szCs w:val="26"/>
        </w:rPr>
        <w:t xml:space="preserve">компания ООО “ИнвестБугры” получила положительное заключение МВК с целью дальнейшего присвоения статуса индустриального парка </w:t>
      </w:r>
      <w:r w:rsidRPr="00AC78CB">
        <w:rPr>
          <w:sz w:val="26"/>
          <w:szCs w:val="26"/>
        </w:rPr>
        <w:lastRenderedPageBreak/>
        <w:t>территории RAUM Бугры. Он будет работать в форматах Build-to-suit и нескольких востребованных сегментах индустриальной недвижимости включая Light Industrial.</w:t>
      </w:r>
    </w:p>
    <w:p w:rsidR="00497CC1" w:rsidRPr="00AC78CB" w:rsidRDefault="00497CC1" w:rsidP="00497CC1">
      <w:pPr>
        <w:jc w:val="center"/>
        <w:rPr>
          <w:spacing w:val="-10"/>
          <w:sz w:val="26"/>
          <w:szCs w:val="26"/>
          <w:shd w:val="clear" w:color="auto" w:fill="FFFFFF"/>
        </w:rPr>
      </w:pPr>
    </w:p>
    <w:p w:rsidR="00AB61F3" w:rsidRPr="00AC78CB" w:rsidRDefault="00497CC1" w:rsidP="00497CC1">
      <w:pPr>
        <w:jc w:val="center"/>
        <w:rPr>
          <w:spacing w:val="-10"/>
          <w:sz w:val="26"/>
          <w:szCs w:val="26"/>
          <w:shd w:val="clear" w:color="auto" w:fill="FFFFFF"/>
        </w:rPr>
      </w:pPr>
      <w:r w:rsidRPr="00AC78CB">
        <w:rPr>
          <w:spacing w:val="-10"/>
          <w:sz w:val="26"/>
          <w:szCs w:val="26"/>
          <w:shd w:val="clear" w:color="auto" w:fill="FFFFFF"/>
        </w:rPr>
        <w:t>Частные инвестиционные площадки:</w:t>
      </w:r>
    </w:p>
    <w:p w:rsidR="00497CC1" w:rsidRPr="00AC78CB" w:rsidRDefault="00497CC1" w:rsidP="00497CC1">
      <w:pPr>
        <w:jc w:val="center"/>
        <w:rPr>
          <w:spacing w:val="-10"/>
          <w:sz w:val="26"/>
          <w:szCs w:val="26"/>
          <w:shd w:val="clear" w:color="auto" w:fill="FFFFFF"/>
        </w:rPr>
      </w:pPr>
    </w:p>
    <w:p w:rsidR="00497CC1" w:rsidRPr="00AC78CB" w:rsidRDefault="00497CC1" w:rsidP="00497CC1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Порошкино (ИнвестБугры) (Greenfield);</w:t>
      </w:r>
    </w:p>
    <w:p w:rsidR="00497CC1" w:rsidRPr="00AC78CB" w:rsidRDefault="00497CC1" w:rsidP="00497CC1">
      <w:pPr>
        <w:pStyle w:val="aa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Земельные участки в промышленной зоне «Лесное» (Greenfield);</w:t>
      </w:r>
    </w:p>
    <w:p w:rsidR="00497CC1" w:rsidRPr="00AC78CB" w:rsidRDefault="00497CC1" w:rsidP="00497CC1">
      <w:pPr>
        <w:pStyle w:val="aa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Земельный участок на Мурманском шоссе № 1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497CC1" w:rsidRPr="00AC78CB" w:rsidRDefault="00497CC1" w:rsidP="00497CC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Выборгское шоссе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497CC1" w:rsidRPr="00AC78CB" w:rsidRDefault="00497CC1" w:rsidP="00497CC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KAD GATE PARK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497CC1" w:rsidRPr="00AC78CB" w:rsidRDefault="00F261B8" w:rsidP="00F261B8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Производственно-складской комплекс в г.п. Кузьмоловское (ООО "КСС") (Brownfield);</w:t>
      </w:r>
    </w:p>
    <w:p w:rsidR="00F261B8" w:rsidRPr="00AC78CB" w:rsidRDefault="00F261B8" w:rsidP="00F261B8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Промышленная зона «Лесное» (Brownfield);</w:t>
      </w:r>
    </w:p>
    <w:p w:rsidR="00F261B8" w:rsidRPr="00AC78CB" w:rsidRDefault="00F261B8" w:rsidP="00F261B8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Индустриальная площадка Разметелево-Север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F261B8" w:rsidRPr="00AC78CB" w:rsidRDefault="00F261B8" w:rsidP="00F261B8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Вартемяги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F261B8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Производственная база во Всеволожске;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Земельный участок Янино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Производственный комплекс Всеволожск;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д. Новосаратовка-центр (Brownfield);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Промзона Уткина Заводь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 xml:space="preserve">(Greenfield); 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Производственно-складской комплекс Муринский (Комбинат ЖБИ) (Brownfield);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Земельный массив «Парнас» 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Земельный участок ул. Школьная 6А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Производственно-складской комплекс Интер-Инвест (Brownfield);</w:t>
      </w:r>
    </w:p>
    <w:p w:rsidR="003D039D" w:rsidRPr="00AC78CB" w:rsidRDefault="003D039D" w:rsidP="003D039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Земельный участок в Парголово </w:t>
      </w:r>
      <w:r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(Greenfield);</w:t>
      </w:r>
    </w:p>
    <w:p w:rsidR="00A551AE" w:rsidRPr="00AC78CB" w:rsidRDefault="00A551AE" w:rsidP="00A551AE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Земельный участок. </w:t>
      </w:r>
      <w:r w:rsidR="00C11B5B"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Некрасова </w:t>
      </w: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2</w:t>
      </w:r>
      <w:r w:rsidR="003014B6"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 </w:t>
      </w:r>
      <w:r w:rsidR="003014B6" w:rsidRPr="00AC78CB">
        <w:rPr>
          <w:rFonts w:ascii="Times New Roman" w:eastAsia="Times New Roman" w:hAnsi="Times New Roman"/>
          <w:sz w:val="26"/>
          <w:szCs w:val="26"/>
          <w:lang w:eastAsia="ru-RU"/>
        </w:rPr>
        <w:t>(Greenfield)</w:t>
      </w: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;</w:t>
      </w:r>
    </w:p>
    <w:p w:rsidR="00A551AE" w:rsidRPr="00AC78CB" w:rsidRDefault="00A551AE" w:rsidP="00A551AE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Всеволожская сельхозтехника</w:t>
      </w:r>
      <w:r w:rsidR="00462914"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 xml:space="preserve"> (Brownfield);</w:t>
      </w:r>
      <w:r w:rsidR="001B28EC" w:rsidRPr="00AC78C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.</w:t>
      </w:r>
    </w:p>
    <w:p w:rsidR="00AB61F3" w:rsidRPr="00AC78CB" w:rsidRDefault="00AB61F3" w:rsidP="00497CC1">
      <w:pPr>
        <w:jc w:val="center"/>
        <w:rPr>
          <w:spacing w:val="-10"/>
          <w:sz w:val="26"/>
          <w:szCs w:val="26"/>
          <w:shd w:val="clear" w:color="auto" w:fill="FFFFFF"/>
        </w:rPr>
      </w:pPr>
      <w:r w:rsidRPr="00AC78CB">
        <w:rPr>
          <w:spacing w:val="-10"/>
          <w:sz w:val="26"/>
          <w:szCs w:val="26"/>
          <w:shd w:val="clear" w:color="auto" w:fill="FFFFFF"/>
        </w:rPr>
        <w:t>Свободные муниципальные инвестиционные площадки:</w:t>
      </w:r>
    </w:p>
    <w:p w:rsidR="00497CC1" w:rsidRPr="00AC78CB" w:rsidRDefault="00497CC1" w:rsidP="00497CC1">
      <w:pPr>
        <w:jc w:val="center"/>
        <w:rPr>
          <w:spacing w:val="-10"/>
          <w:sz w:val="26"/>
          <w:szCs w:val="26"/>
          <w:shd w:val="clear" w:color="auto" w:fill="FFFFFF"/>
        </w:rPr>
      </w:pPr>
    </w:p>
    <w:p w:rsidR="00AB61F3" w:rsidRPr="00AC78CB" w:rsidRDefault="00AB61F3" w:rsidP="00497CC1">
      <w:pPr>
        <w:pStyle w:val="aa"/>
        <w:numPr>
          <w:ilvl w:val="0"/>
          <w:numId w:val="8"/>
        </w:numPr>
        <w:spacing w:after="0" w:line="240" w:lineRule="auto"/>
        <w:ind w:left="777" w:hanging="357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z w:val="26"/>
          <w:szCs w:val="26"/>
        </w:rPr>
        <w:t>д. Новое Девяткино, территория Северной ТЭЦ, 1-й проезд, уч. №20;</w:t>
      </w:r>
    </w:p>
    <w:p w:rsidR="00AB61F3" w:rsidRPr="00AC78CB" w:rsidRDefault="00AB61F3" w:rsidP="003504CB">
      <w:pPr>
        <w:pStyle w:val="aa"/>
        <w:numPr>
          <w:ilvl w:val="0"/>
          <w:numId w:val="8"/>
        </w:numPr>
        <w:spacing w:line="240" w:lineRule="auto"/>
        <w:ind w:left="777" w:hanging="357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Fonts w:ascii="Times New Roman" w:hAnsi="Times New Roman"/>
          <w:sz w:val="26"/>
          <w:szCs w:val="26"/>
        </w:rPr>
        <w:t>д. Новое Девяткино, территория Северной ТЭЦ, 1-й проезд, уч. №22;</w:t>
      </w:r>
    </w:p>
    <w:p w:rsidR="00AB61F3" w:rsidRPr="00AC78CB" w:rsidRDefault="003504CB" w:rsidP="003504CB">
      <w:pPr>
        <w:pStyle w:val="aa"/>
        <w:numPr>
          <w:ilvl w:val="0"/>
          <w:numId w:val="8"/>
        </w:numPr>
        <w:spacing w:line="240" w:lineRule="auto"/>
        <w:rPr>
          <w:rStyle w:val="26"/>
          <w:rFonts w:eastAsia="Calibri"/>
          <w:color w:val="auto"/>
          <w:spacing w:val="-10"/>
          <w:sz w:val="26"/>
          <w:szCs w:val="26"/>
          <w:shd w:val="clear" w:color="auto" w:fill="FFFFFF"/>
          <w:lang w:eastAsia="en-US" w:bidi="ar-SA"/>
        </w:rPr>
      </w:pPr>
      <w:r w:rsidRPr="00AC78CB">
        <w:rPr>
          <w:rStyle w:val="26"/>
          <w:rFonts w:eastAsia="Arial Unicode MS"/>
          <w:sz w:val="26"/>
          <w:szCs w:val="26"/>
        </w:rPr>
        <w:t>д. Новое Девягкино, ул. Школьная, уч. 5 А;</w:t>
      </w:r>
    </w:p>
    <w:p w:rsidR="00AB61F3" w:rsidRPr="00AC78CB" w:rsidRDefault="003504CB" w:rsidP="003504CB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AC78CB">
        <w:rPr>
          <w:rStyle w:val="26"/>
          <w:rFonts w:eastAsia="Arial Unicode MS"/>
          <w:sz w:val="26"/>
          <w:szCs w:val="26"/>
        </w:rPr>
        <w:t>д. Новое Девяткино, ул. Школьная, уч. 5 Б.</w:t>
      </w:r>
    </w:p>
    <w:p w:rsidR="00140E9F" w:rsidRPr="00F9145F" w:rsidRDefault="00FF0940" w:rsidP="003504CB">
      <w:pPr>
        <w:tabs>
          <w:tab w:val="left" w:pos="851"/>
        </w:tabs>
        <w:jc w:val="both"/>
        <w:rPr>
          <w:sz w:val="26"/>
          <w:szCs w:val="26"/>
        </w:rPr>
      </w:pPr>
      <w:r w:rsidRPr="00AC78CB">
        <w:rPr>
          <w:sz w:val="26"/>
          <w:szCs w:val="26"/>
        </w:rPr>
        <w:tab/>
        <w:t>Администрацией муниципального образования, совместно с администрациями городских и сельских поселений, постоянно проводится работа по актуализации информации об инвестиционных площадках промышленного назначения. Актуализируется информации, содержащаяся в Интегрированной региональной информационной системе – «ИРИС» (Инвестиционное развитие Ленинградской области).</w:t>
      </w:r>
    </w:p>
    <w:p w:rsidR="00F9145F" w:rsidRPr="00F9145F" w:rsidRDefault="00A87165" w:rsidP="00363242">
      <w:pPr>
        <w:tabs>
          <w:tab w:val="left" w:pos="851"/>
        </w:tabs>
        <w:jc w:val="both"/>
        <w:rPr>
          <w:sz w:val="26"/>
          <w:szCs w:val="26"/>
        </w:rPr>
      </w:pPr>
      <w:r w:rsidRPr="00DF6EEB">
        <w:rPr>
          <w:sz w:val="26"/>
          <w:szCs w:val="26"/>
        </w:rPr>
        <w:tab/>
      </w:r>
      <w:r w:rsidR="00363242" w:rsidRPr="00DF6EEB">
        <w:rPr>
          <w:sz w:val="26"/>
          <w:szCs w:val="26"/>
        </w:rPr>
        <w:t>Однако, одной из наиболее существенных проблем в области привлечения инвестиций в последнее время является все более остро ощущаемый дефицит земельных ресурсов, которые непосредственно могут быть использованы под промышленные цели, обладающие достаточно развитой инженерной инфраструктурой</w:t>
      </w:r>
      <w:r w:rsidR="00BF1FD0">
        <w:rPr>
          <w:sz w:val="26"/>
          <w:szCs w:val="26"/>
        </w:rPr>
        <w:t>,</w:t>
      </w:r>
      <w:r w:rsidR="00363242" w:rsidRPr="00DF6EEB">
        <w:rPr>
          <w:sz w:val="26"/>
          <w:szCs w:val="26"/>
        </w:rPr>
        <w:t xml:space="preserve"> инвестиционный потенциал уже давно существующих промышленных зон, благодаря которым район в свое время сделал ощутимый скачек («Кирпичный завод», «Коммунально-складская зона» в г. Всеволожск) уже задействован практически на 100%. </w:t>
      </w:r>
      <w:r w:rsidR="00F9145F">
        <w:rPr>
          <w:sz w:val="28"/>
          <w:szCs w:val="28"/>
        </w:rPr>
        <w:tab/>
      </w:r>
    </w:p>
    <w:p w:rsidR="000D0B91" w:rsidRPr="00DF6EEB" w:rsidRDefault="000D0B91" w:rsidP="000D0B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EEB">
        <w:rPr>
          <w:sz w:val="26"/>
          <w:szCs w:val="26"/>
        </w:rPr>
        <w:t xml:space="preserve">Важным условием дальнейшего роста экономики Всеволожского муниципального района являются инвестиции в развитие современных производств, новых технологий, кадровый потенциал. Для этого необходимо создание и развитие </w:t>
      </w:r>
      <w:r w:rsidRPr="00DF6EEB">
        <w:rPr>
          <w:sz w:val="26"/>
          <w:szCs w:val="26"/>
        </w:rPr>
        <w:lastRenderedPageBreak/>
        <w:t xml:space="preserve">объектов общественной инфраструктуры, недостаточность которой становится реальным препятствием для повышения экономической активности общества. </w:t>
      </w:r>
    </w:p>
    <w:p w:rsidR="00A944B7" w:rsidRPr="00DF6EEB" w:rsidRDefault="00A944B7" w:rsidP="00A94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EEB">
        <w:rPr>
          <w:sz w:val="26"/>
          <w:szCs w:val="26"/>
        </w:rPr>
        <w:t>В условиях растущей потребности Всеволожского муниципального района Ленинградской области в модернизации общественной инфраструктуры и дефицита местного  бюджета необходимо привлечение частных инвестиций, в связи с чем, одним из основных направлений стимулирования экономики является развитие государственно-частного партнерства.</w:t>
      </w:r>
    </w:p>
    <w:p w:rsidR="00A944B7" w:rsidRPr="00DF6EEB" w:rsidRDefault="00A944B7" w:rsidP="00A94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EEB">
        <w:rPr>
          <w:sz w:val="26"/>
          <w:szCs w:val="26"/>
        </w:rPr>
        <w:t>Реализация инфраструктурных проектов в рамках государственно-частного партнерства предполагает объединение ресурсов государства и бизнеса, что позволит осуществлять масштабные проекты и существенно улучшить состояние общественной инфраструктуры – транспортной инфраструктуры, жилищно-коммунального хозяйства, здравоохранения, образования, культуры и досуга.</w:t>
      </w:r>
    </w:p>
    <w:p w:rsidR="00A944B7" w:rsidRPr="00DF6EEB" w:rsidRDefault="00A944B7" w:rsidP="00A944B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EEB">
        <w:rPr>
          <w:rFonts w:ascii="Times New Roman" w:hAnsi="Times New Roman" w:cs="Times New Roman"/>
          <w:sz w:val="26"/>
          <w:szCs w:val="26"/>
        </w:rPr>
        <w:t xml:space="preserve">Улучшению инвестиционного климата </w:t>
      </w:r>
      <w:r w:rsidR="00BF1FD0">
        <w:rPr>
          <w:rFonts w:ascii="Times New Roman" w:hAnsi="Times New Roman" w:cs="Times New Roman"/>
          <w:sz w:val="26"/>
          <w:szCs w:val="26"/>
        </w:rPr>
        <w:t>также</w:t>
      </w:r>
      <w:r w:rsidRPr="00DF6EEB">
        <w:rPr>
          <w:rFonts w:ascii="Times New Roman" w:hAnsi="Times New Roman" w:cs="Times New Roman"/>
          <w:sz w:val="26"/>
          <w:szCs w:val="26"/>
        </w:rPr>
        <w:t xml:space="preserve"> способств</w:t>
      </w:r>
      <w:r w:rsidR="00BF1FD0">
        <w:rPr>
          <w:rFonts w:ascii="Times New Roman" w:hAnsi="Times New Roman" w:cs="Times New Roman"/>
          <w:sz w:val="26"/>
          <w:szCs w:val="26"/>
        </w:rPr>
        <w:t>ует</w:t>
      </w:r>
      <w:r w:rsidRPr="00DF6EEB">
        <w:rPr>
          <w:rFonts w:ascii="Times New Roman" w:hAnsi="Times New Roman" w:cs="Times New Roman"/>
          <w:sz w:val="26"/>
          <w:szCs w:val="26"/>
        </w:rPr>
        <w:t xml:space="preserve"> институт оценки регулирующего воздействия (далее - ОРВ), который создавался как инструмент борьбы с административными барьерами, а также регулированием, несущим необоснованные издержки для производителей.</w:t>
      </w:r>
    </w:p>
    <w:p w:rsidR="00A944B7" w:rsidRPr="00DF6EEB" w:rsidRDefault="00A944B7" w:rsidP="00A944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EEB">
        <w:rPr>
          <w:sz w:val="26"/>
          <w:szCs w:val="26"/>
        </w:rPr>
        <w:t>В результате внедрения института ОРВ создан барьер продвижению недостаточно проработанных решений, которые впоследствии могут повлечь неоправданные расходы для предпринимателей и бюджета. Реализация направления позволит улучшить инвестиционный и предпринимательский климат посредством повышения качества правотворчества, создания прозрачных и понятных механизмов принятия обоснованных регулятивных решений.</w:t>
      </w:r>
    </w:p>
    <w:p w:rsidR="00897516" w:rsidRPr="00DF6EEB" w:rsidRDefault="00A944B7" w:rsidP="00A944B7">
      <w:pPr>
        <w:pStyle w:val="2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F6EEB">
        <w:rPr>
          <w:rFonts w:ascii="Times New Roman" w:hAnsi="Times New Roman"/>
          <w:sz w:val="26"/>
          <w:szCs w:val="26"/>
        </w:rPr>
        <w:t>Важнейшим фактором успешного социально-экономического развития Всеволожского муниципального района Ленинградской области, повышения конкурентоспособности ее экономики и инвестиционной привлекательности является наличие эффективно функционирующей системы стратегического управления и ее отдельных подсистем – стратегического планирования, системы мониторинга реализации стратегических планов и обеспечения процесса стратегического управления и прогноза социально-экономического развитии района.</w:t>
      </w:r>
    </w:p>
    <w:p w:rsidR="00897516" w:rsidRPr="00DF6EEB" w:rsidRDefault="00897516" w:rsidP="00897516">
      <w:pPr>
        <w:pStyle w:val="2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6EEB">
        <w:rPr>
          <w:rFonts w:ascii="Times New Roman" w:hAnsi="Times New Roman"/>
          <w:sz w:val="26"/>
          <w:szCs w:val="26"/>
        </w:rPr>
        <w:t xml:space="preserve">В рамках реализации стратегического подхода к управлению социально-экономическим развитием Всеволожского муниципального района Ленинградской области года утверждена и реализуется «Стратегия социально-экономического развития Всеволожского муниципального района Ленинградской области на период </w:t>
      </w:r>
      <w:r w:rsidRPr="00DF6EEB">
        <w:rPr>
          <w:rFonts w:ascii="Times New Roman" w:hAnsi="Times New Roman"/>
          <w:sz w:val="26"/>
          <w:szCs w:val="26"/>
        </w:rPr>
        <w:br/>
        <w:t xml:space="preserve">до 2030 года» (далее – Стратегия). </w:t>
      </w:r>
    </w:p>
    <w:p w:rsidR="00897516" w:rsidRPr="00DF6EEB" w:rsidRDefault="00897516" w:rsidP="00897516">
      <w:pPr>
        <w:pStyle w:val="2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6EEB">
        <w:rPr>
          <w:rFonts w:ascii="Times New Roman" w:hAnsi="Times New Roman"/>
          <w:sz w:val="26"/>
          <w:szCs w:val="26"/>
        </w:rPr>
        <w:t>В Стратегии на основе анализа текущего социально-экономического положения Всеволожского муниципального района Ленинградской области выбран целевой сценарий развития, в основе которого лежит необходимость перехода Всеволожского муниципального района Ленинградской области в состав инновационных диверсифицированных экономик.</w:t>
      </w:r>
    </w:p>
    <w:p w:rsidR="00897516" w:rsidRPr="00DF6EEB" w:rsidRDefault="00897516" w:rsidP="00897516">
      <w:pPr>
        <w:pStyle w:val="2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6EEB">
        <w:rPr>
          <w:rFonts w:ascii="Times New Roman" w:hAnsi="Times New Roman"/>
          <w:sz w:val="26"/>
          <w:szCs w:val="26"/>
        </w:rPr>
        <w:t xml:space="preserve">Основным инструментом реализации Стратегии являются </w:t>
      </w:r>
      <w:r w:rsidRPr="00DF6EEB">
        <w:rPr>
          <w:rFonts w:ascii="Times New Roman" w:hAnsi="Times New Roman"/>
          <w:sz w:val="26"/>
          <w:szCs w:val="26"/>
        </w:rPr>
        <w:br/>
        <w:t xml:space="preserve">муниципальные программы Всеволожского муниципального района Ленинградской области, которые призваны обеспечить достижение целей социально-экономической политики Всеволожского муниципального района Ленинградской области. Муниципальные программы представляют собой систему мероприятий и инструментов политики, формируемых на основе целей и задач развития Всеволожского района Ленинградской области в среднесрочной перспективе. </w:t>
      </w:r>
    </w:p>
    <w:p w:rsidR="006B790B" w:rsidRPr="00DF6EEB" w:rsidRDefault="006B790B" w:rsidP="006B790B">
      <w:pPr>
        <w:ind w:firstLine="709"/>
        <w:jc w:val="both"/>
        <w:rPr>
          <w:sz w:val="26"/>
          <w:szCs w:val="26"/>
        </w:rPr>
      </w:pPr>
      <w:r w:rsidRPr="00DF6EEB">
        <w:rPr>
          <w:sz w:val="26"/>
          <w:szCs w:val="26"/>
        </w:rPr>
        <w:t xml:space="preserve">Система стратегического управления Всеволожским муниципальным районом Ленинградской области включает также социально-экономическое прогнозирование, являющееся одним из основных факторов формирования стратегии и тактики общественного развития. Результаты прогнозирования социально-экономического развития используются при принятии органами власти конкретных решений в области </w:t>
      </w:r>
      <w:r w:rsidRPr="00DF6EEB">
        <w:rPr>
          <w:sz w:val="26"/>
          <w:szCs w:val="26"/>
        </w:rPr>
        <w:lastRenderedPageBreak/>
        <w:t xml:space="preserve">социально-экономической политики, с другой стороны – для оценки воздействия решений на экономические и социальные процессы. </w:t>
      </w:r>
    </w:p>
    <w:p w:rsidR="006B790B" w:rsidRPr="00D717BF" w:rsidRDefault="006B790B" w:rsidP="006B790B">
      <w:pPr>
        <w:ind w:firstLine="709"/>
        <w:jc w:val="both"/>
        <w:rPr>
          <w:sz w:val="26"/>
          <w:szCs w:val="26"/>
        </w:rPr>
      </w:pPr>
      <w:r w:rsidRPr="00DF6EEB">
        <w:rPr>
          <w:sz w:val="26"/>
          <w:szCs w:val="26"/>
        </w:rPr>
        <w:t>Прогнозы на среднесрочную перспективу разрабатываются ежегодно – на период 3 года</w:t>
      </w:r>
      <w:r w:rsidR="00D717BF">
        <w:rPr>
          <w:sz w:val="26"/>
          <w:szCs w:val="26"/>
        </w:rPr>
        <w:t xml:space="preserve"> и </w:t>
      </w:r>
      <w:r w:rsidR="00D717BF" w:rsidRPr="00D717BF">
        <w:rPr>
          <w:sz w:val="26"/>
          <w:szCs w:val="26"/>
        </w:rPr>
        <w:t>являются основой для составления проекта бюджета</w:t>
      </w:r>
      <w:r w:rsidRPr="00D717BF">
        <w:rPr>
          <w:sz w:val="26"/>
          <w:szCs w:val="26"/>
        </w:rPr>
        <w:t>.</w:t>
      </w:r>
    </w:p>
    <w:p w:rsidR="006B790B" w:rsidRDefault="006B790B" w:rsidP="006B790B">
      <w:pPr>
        <w:ind w:firstLine="540"/>
        <w:jc w:val="both"/>
        <w:rPr>
          <w:sz w:val="26"/>
          <w:szCs w:val="26"/>
        </w:rPr>
      </w:pPr>
      <w:r w:rsidRPr="00DF6EEB">
        <w:rPr>
          <w:sz w:val="26"/>
          <w:szCs w:val="26"/>
        </w:rPr>
        <w:t>Одним из разделов стандарта деятельности органов местного самоуправления по обеспечению благоприятного инвестиционного климата является создание коллегиального совещательного и консультативного органа по улучшению инвестиционного климата. Постановлением администрации МО «Всеволожский муниципальный район» от 25.12.2015 № 3105 создан совет по улучшению инвестиционного климата Всеволожского муниципального района. Ключевыми задачами совета являются выявление административных барьеров при осуществлении инвестиционной деятельности, содействие развитию конкурентной среды во Всеволожском муниципальном районе.</w:t>
      </w:r>
    </w:p>
    <w:p w:rsidR="002B0A97" w:rsidRPr="008757FC" w:rsidRDefault="002B0A97" w:rsidP="006B790B">
      <w:pPr>
        <w:ind w:firstLine="540"/>
        <w:jc w:val="both"/>
        <w:rPr>
          <w:color w:val="333333"/>
          <w:sz w:val="26"/>
          <w:szCs w:val="26"/>
          <w:shd w:val="clear" w:color="auto" w:fill="FFFFFF"/>
        </w:rPr>
      </w:pPr>
      <w:r w:rsidRPr="008757FC">
        <w:rPr>
          <w:color w:val="333333"/>
          <w:sz w:val="26"/>
          <w:szCs w:val="26"/>
          <w:shd w:val="clear" w:color="auto" w:fill="FFFFFF"/>
        </w:rPr>
        <w:t>Развитие конкуренции – важный и необходимый шаг к формированию здоровой экономики Всеволожского района.</w:t>
      </w:r>
    </w:p>
    <w:p w:rsidR="002B0A97" w:rsidRPr="008757FC" w:rsidRDefault="002B0A97" w:rsidP="002B0A97">
      <w:pPr>
        <w:ind w:firstLine="540"/>
        <w:jc w:val="both"/>
        <w:rPr>
          <w:color w:val="333333"/>
          <w:shd w:val="clear" w:color="auto" w:fill="FFFFFF"/>
        </w:rPr>
      </w:pPr>
      <w:r w:rsidRPr="008757FC">
        <w:rPr>
          <w:color w:val="333333"/>
          <w:sz w:val="26"/>
          <w:szCs w:val="26"/>
          <w:shd w:val="clear" w:color="auto" w:fill="FFFFFF"/>
        </w:rPr>
        <w:t xml:space="preserve">На официальном сайте муниципального образования разработан раздел, посвященный стандарту развития конкуренции в муниципальном образовании. В разделе размещены нормативно-правовые документы по развитию конкуренции и формы анкет для проведения </w:t>
      </w:r>
      <w:r w:rsidRPr="008757FC">
        <w:rPr>
          <w:color w:val="333333"/>
          <w:shd w:val="clear" w:color="auto" w:fill="FFFFFF"/>
        </w:rPr>
        <w:t>мониторинга состояния и развития конкурентной среды.</w:t>
      </w:r>
    </w:p>
    <w:p w:rsidR="002B0A97" w:rsidRPr="008757FC" w:rsidRDefault="002B0A97" w:rsidP="002B0A97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8757FC">
        <w:rPr>
          <w:rStyle w:val="af5"/>
          <w:rFonts w:ascii="Times New Roman" w:hAnsi="Times New Roman"/>
          <w:sz w:val="26"/>
          <w:szCs w:val="26"/>
        </w:rPr>
        <w:t>В 2019 году проведен опрос субъектов предпринимательской деятельности и потребителей товаров (работ, услуг) с ц</w:t>
      </w:r>
      <w:r w:rsidRPr="008757FC">
        <w:rPr>
          <w:rFonts w:ascii="Times New Roman" w:hAnsi="Times New Roman"/>
          <w:sz w:val="26"/>
          <w:szCs w:val="26"/>
        </w:rPr>
        <w:t>елью поведения оценки условий для развития раконкуренции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 В ходе опроса поступило 86 анкет, в том числе: от предпринимателей – 55, от потребителей – 31.</w:t>
      </w:r>
    </w:p>
    <w:p w:rsidR="002B0A97" w:rsidRPr="008757FC" w:rsidRDefault="002B0A97" w:rsidP="002B0A9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57FC">
        <w:rPr>
          <w:rFonts w:ascii="Times New Roman" w:hAnsi="Times New Roman"/>
          <w:sz w:val="26"/>
          <w:szCs w:val="26"/>
        </w:rPr>
        <w:t>Основные результаты опроса:</w:t>
      </w:r>
    </w:p>
    <w:p w:rsidR="002B0A97" w:rsidRPr="008757FC" w:rsidRDefault="002B0A97" w:rsidP="002B0A9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57FC">
        <w:rPr>
          <w:rFonts w:ascii="Times New Roman" w:hAnsi="Times New Roman"/>
          <w:sz w:val="26"/>
          <w:szCs w:val="26"/>
        </w:rPr>
        <w:t>- оценка конкуренции высокая;</w:t>
      </w:r>
    </w:p>
    <w:p w:rsidR="002B0A97" w:rsidRPr="008757FC" w:rsidRDefault="002B0A97" w:rsidP="002B0A97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8757FC">
        <w:rPr>
          <w:rFonts w:ascii="Times New Roman" w:hAnsi="Times New Roman"/>
          <w:sz w:val="26"/>
          <w:szCs w:val="26"/>
        </w:rPr>
        <w:t>- оценка качества официальной информации о состоянии конкурентной среды - скорее удовлетворительное;</w:t>
      </w:r>
    </w:p>
    <w:p w:rsidR="002B0A97" w:rsidRPr="008757FC" w:rsidRDefault="002B0A97" w:rsidP="002B0A97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8757FC">
        <w:rPr>
          <w:rFonts w:ascii="Times New Roman" w:hAnsi="Times New Roman"/>
          <w:sz w:val="26"/>
          <w:szCs w:val="26"/>
        </w:rPr>
        <w:t>- наиболее существенные административные барьеры: высокие налоги, нестабильность Российского законодательства, сложность получения доступа к земельным участкам; уровень и количество административных барьеров не изменилось;</w:t>
      </w:r>
    </w:p>
    <w:p w:rsidR="002B0A97" w:rsidRPr="008757FC" w:rsidRDefault="002B0A97" w:rsidP="002B0A97">
      <w:pPr>
        <w:pStyle w:val="af4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8757FC">
        <w:rPr>
          <w:rFonts w:ascii="Times New Roman" w:hAnsi="Times New Roman"/>
          <w:sz w:val="26"/>
          <w:szCs w:val="26"/>
        </w:rPr>
        <w:t>- характеристика деятельности органов власти - органы власти предпринимают недостаточно мер.</w:t>
      </w:r>
    </w:p>
    <w:p w:rsidR="00A944B7" w:rsidRPr="00425EAD" w:rsidRDefault="00A944B7" w:rsidP="008757F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A944B7" w:rsidRPr="006E33F6" w:rsidRDefault="00A944B7" w:rsidP="00A944B7">
      <w:pPr>
        <w:pStyle w:val="ConsPlusNormal"/>
        <w:numPr>
          <w:ilvl w:val="0"/>
          <w:numId w:val="4"/>
        </w:numPr>
        <w:adjustRightInd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E33F6">
        <w:rPr>
          <w:rFonts w:ascii="Times New Roman" w:hAnsi="Times New Roman" w:cs="Times New Roman"/>
          <w:b/>
          <w:sz w:val="26"/>
          <w:szCs w:val="26"/>
        </w:rPr>
        <w:t>Приоритеты государственной</w:t>
      </w:r>
      <w:r w:rsidR="00C56C26">
        <w:rPr>
          <w:rFonts w:ascii="Times New Roman" w:hAnsi="Times New Roman" w:cs="Times New Roman"/>
          <w:b/>
          <w:sz w:val="26"/>
          <w:szCs w:val="26"/>
        </w:rPr>
        <w:t xml:space="preserve"> (муниципальной) </w:t>
      </w:r>
      <w:r w:rsidRPr="006E33F6">
        <w:rPr>
          <w:rFonts w:ascii="Times New Roman" w:hAnsi="Times New Roman" w:cs="Times New Roman"/>
          <w:b/>
          <w:sz w:val="26"/>
          <w:szCs w:val="26"/>
        </w:rPr>
        <w:t>политики</w:t>
      </w:r>
    </w:p>
    <w:p w:rsidR="00B00B19" w:rsidRDefault="00954407" w:rsidP="006B2D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F6">
        <w:rPr>
          <w:rFonts w:ascii="Times New Roman" w:hAnsi="Times New Roman" w:cs="Times New Roman"/>
          <w:b/>
          <w:sz w:val="26"/>
          <w:szCs w:val="26"/>
        </w:rPr>
        <w:t xml:space="preserve">в сфере реализации </w:t>
      </w:r>
      <w:r w:rsidR="00A944B7" w:rsidRPr="006E33F6">
        <w:rPr>
          <w:rFonts w:ascii="Times New Roman" w:hAnsi="Times New Roman" w:cs="Times New Roman"/>
          <w:b/>
          <w:sz w:val="26"/>
          <w:szCs w:val="26"/>
        </w:rPr>
        <w:t>про</w:t>
      </w:r>
      <w:r w:rsidR="006B2D0E">
        <w:rPr>
          <w:rFonts w:ascii="Times New Roman" w:hAnsi="Times New Roman" w:cs="Times New Roman"/>
          <w:b/>
          <w:sz w:val="26"/>
          <w:szCs w:val="26"/>
        </w:rPr>
        <w:t>граммы</w:t>
      </w:r>
    </w:p>
    <w:p w:rsidR="006B2D0E" w:rsidRPr="006B2D0E" w:rsidRDefault="006B2D0E" w:rsidP="006B2D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4B7" w:rsidRDefault="00B00B19" w:rsidP="002A2453">
      <w:pPr>
        <w:pStyle w:val="2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66B9">
        <w:rPr>
          <w:rFonts w:ascii="Times New Roman" w:hAnsi="Times New Roman"/>
          <w:sz w:val="26"/>
          <w:szCs w:val="26"/>
        </w:rPr>
        <w:t>Нормативно-правовые основы стратегического управления и планирования Всеволожского муниципального района Ленинградской области определены областным законом Ленинградской области от 27 июля 2015 года № 82-оз «О стратегическом планировании в Ленинградской области»,</w:t>
      </w:r>
      <w:r w:rsidR="003666B9" w:rsidRPr="003666B9">
        <w:rPr>
          <w:sz w:val="26"/>
          <w:szCs w:val="26"/>
        </w:rPr>
        <w:t xml:space="preserve"> </w:t>
      </w:r>
      <w:r w:rsidR="003666B9">
        <w:rPr>
          <w:rFonts w:ascii="Times New Roman" w:hAnsi="Times New Roman"/>
          <w:sz w:val="26"/>
          <w:szCs w:val="26"/>
        </w:rPr>
        <w:t>Стратегией</w:t>
      </w:r>
      <w:r w:rsidR="003666B9" w:rsidRPr="003666B9">
        <w:rPr>
          <w:rFonts w:ascii="Times New Roman" w:hAnsi="Times New Roman"/>
          <w:sz w:val="26"/>
          <w:szCs w:val="26"/>
        </w:rPr>
        <w:t xml:space="preserve"> социально-экономического развития Ленинградской области до 2030 года, утвержденной областным законом Ленинградской области </w:t>
      </w:r>
      <w:r w:rsidR="003666B9" w:rsidRPr="003666B9">
        <w:rPr>
          <w:rFonts w:ascii="Times New Roman" w:hAnsi="Times New Roman"/>
          <w:sz w:val="26"/>
          <w:szCs w:val="26"/>
          <w:shd w:val="clear" w:color="auto" w:fill="FFFFFF"/>
        </w:rPr>
        <w:t xml:space="preserve">от 8 августа 2016 года № 76-оз, </w:t>
      </w:r>
      <w:r w:rsidR="003666B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государственной программой</w:t>
      </w:r>
      <w:r w:rsidR="003666B9" w:rsidRPr="003666B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"Стимулирование экономической активности Ленинградской области"</w:t>
      </w:r>
      <w:r w:rsidR="003666B9" w:rsidRPr="003666B9">
        <w:rPr>
          <w:rFonts w:ascii="Times New Roman" w:hAnsi="Times New Roman"/>
          <w:sz w:val="26"/>
          <w:szCs w:val="26"/>
        </w:rPr>
        <w:t xml:space="preserve">, утвержденной </w:t>
      </w:r>
      <w:r w:rsidR="003666B9" w:rsidRPr="003666B9">
        <w:rPr>
          <w:rFonts w:ascii="Times New Roman" w:hAnsi="Times New Roman"/>
          <w:spacing w:val="2"/>
          <w:sz w:val="26"/>
          <w:szCs w:val="26"/>
        </w:rPr>
        <w:t>постановлением</w:t>
      </w:r>
      <w:r w:rsidR="003666B9" w:rsidRPr="003666B9">
        <w:rPr>
          <w:spacing w:val="2"/>
          <w:sz w:val="26"/>
          <w:szCs w:val="26"/>
        </w:rPr>
        <w:t xml:space="preserve"> </w:t>
      </w:r>
      <w:r w:rsidR="003666B9" w:rsidRPr="002A2453">
        <w:rPr>
          <w:rFonts w:ascii="Times New Roman" w:hAnsi="Times New Roman"/>
          <w:spacing w:val="2"/>
          <w:sz w:val="26"/>
          <w:szCs w:val="26"/>
        </w:rPr>
        <w:t>Правительства</w:t>
      </w:r>
      <w:r w:rsidR="003666B9" w:rsidRPr="003666B9">
        <w:rPr>
          <w:spacing w:val="2"/>
          <w:sz w:val="26"/>
          <w:szCs w:val="26"/>
        </w:rPr>
        <w:t xml:space="preserve"> </w:t>
      </w:r>
      <w:r w:rsidR="003666B9" w:rsidRPr="003666B9">
        <w:rPr>
          <w:rFonts w:ascii="Times New Roman" w:hAnsi="Times New Roman"/>
          <w:spacing w:val="2"/>
          <w:sz w:val="26"/>
          <w:szCs w:val="26"/>
        </w:rPr>
        <w:t>Ленинградской области от 14 ноября 2013 года № 394</w:t>
      </w:r>
      <w:r w:rsidR="003666B9">
        <w:rPr>
          <w:rFonts w:ascii="Times New Roman" w:hAnsi="Times New Roman"/>
          <w:spacing w:val="2"/>
          <w:sz w:val="26"/>
          <w:szCs w:val="26"/>
        </w:rPr>
        <w:t>.</w:t>
      </w:r>
      <w:r w:rsidR="003666B9">
        <w:rPr>
          <w:rFonts w:ascii="Times New Roman" w:hAnsi="Times New Roman"/>
          <w:sz w:val="26"/>
          <w:szCs w:val="26"/>
        </w:rPr>
        <w:t xml:space="preserve"> </w:t>
      </w:r>
      <w:r w:rsidR="00731010">
        <w:rPr>
          <w:rFonts w:ascii="Times New Roman" w:hAnsi="Times New Roman"/>
          <w:sz w:val="26"/>
          <w:szCs w:val="26"/>
        </w:rPr>
        <w:t>К</w:t>
      </w:r>
      <w:r w:rsidRPr="003666B9">
        <w:rPr>
          <w:rFonts w:ascii="Times New Roman" w:hAnsi="Times New Roman"/>
          <w:sz w:val="26"/>
          <w:szCs w:val="26"/>
        </w:rPr>
        <w:t xml:space="preserve"> стратегически</w:t>
      </w:r>
      <w:r w:rsidR="00731010">
        <w:rPr>
          <w:rFonts w:ascii="Times New Roman" w:hAnsi="Times New Roman"/>
          <w:sz w:val="26"/>
          <w:szCs w:val="26"/>
        </w:rPr>
        <w:t>м документам</w:t>
      </w:r>
      <w:r w:rsidRPr="003666B9">
        <w:rPr>
          <w:rFonts w:ascii="Times New Roman" w:hAnsi="Times New Roman"/>
          <w:sz w:val="26"/>
          <w:szCs w:val="26"/>
        </w:rPr>
        <w:t xml:space="preserve"> Всеволожского муниципального района Ленинградской области </w:t>
      </w:r>
      <w:r w:rsidR="00731010">
        <w:rPr>
          <w:rFonts w:ascii="Times New Roman" w:hAnsi="Times New Roman"/>
          <w:sz w:val="26"/>
          <w:szCs w:val="26"/>
        </w:rPr>
        <w:t>относятся</w:t>
      </w:r>
      <w:r w:rsidR="003666B9">
        <w:rPr>
          <w:rFonts w:ascii="Times New Roman" w:hAnsi="Times New Roman"/>
          <w:sz w:val="26"/>
          <w:szCs w:val="26"/>
        </w:rPr>
        <w:t xml:space="preserve"> </w:t>
      </w:r>
      <w:r w:rsidR="00E835DB" w:rsidRPr="00E835DB">
        <w:rPr>
          <w:rFonts w:ascii="Times New Roman" w:hAnsi="Times New Roman"/>
          <w:sz w:val="26"/>
          <w:szCs w:val="26"/>
        </w:rPr>
        <w:t>Стратеги</w:t>
      </w:r>
      <w:r w:rsidR="000B1EE9">
        <w:rPr>
          <w:rFonts w:ascii="Times New Roman" w:hAnsi="Times New Roman"/>
          <w:sz w:val="26"/>
          <w:szCs w:val="26"/>
        </w:rPr>
        <w:t>я</w:t>
      </w:r>
      <w:r w:rsidR="00E835DB" w:rsidRPr="00E835DB">
        <w:rPr>
          <w:rFonts w:ascii="Times New Roman" w:hAnsi="Times New Roman"/>
          <w:sz w:val="26"/>
          <w:szCs w:val="26"/>
        </w:rPr>
        <w:t xml:space="preserve"> социально-экономического развития МО «Всеволожский муниципальный район» Ленинградской области на период </w:t>
      </w:r>
      <w:r w:rsidR="000B1EE9">
        <w:rPr>
          <w:rFonts w:ascii="Times New Roman" w:hAnsi="Times New Roman"/>
          <w:sz w:val="26"/>
          <w:szCs w:val="26"/>
        </w:rPr>
        <w:t xml:space="preserve">до </w:t>
      </w:r>
      <w:r w:rsidR="00E835DB" w:rsidRPr="00E835DB">
        <w:rPr>
          <w:rFonts w:ascii="Times New Roman" w:hAnsi="Times New Roman"/>
          <w:sz w:val="26"/>
          <w:szCs w:val="26"/>
        </w:rPr>
        <w:t xml:space="preserve">2030 года и плана мероприятий по реализации </w:t>
      </w:r>
      <w:r w:rsidR="00E835DB" w:rsidRPr="00E835DB">
        <w:rPr>
          <w:rFonts w:ascii="Times New Roman" w:hAnsi="Times New Roman"/>
          <w:sz w:val="26"/>
          <w:szCs w:val="26"/>
        </w:rPr>
        <w:lastRenderedPageBreak/>
        <w:t xml:space="preserve">Стратегии социально-экономического развития МО «Всеволожский муниципальный район» Ленинградской области на период </w:t>
      </w:r>
      <w:r w:rsidR="00731010">
        <w:rPr>
          <w:rFonts w:ascii="Times New Roman" w:hAnsi="Times New Roman"/>
          <w:sz w:val="26"/>
          <w:szCs w:val="26"/>
        </w:rPr>
        <w:t>до 2030 года, принятых</w:t>
      </w:r>
      <w:r w:rsidR="00E835DB" w:rsidRPr="00E835DB">
        <w:rPr>
          <w:rFonts w:ascii="Times New Roman" w:hAnsi="Times New Roman"/>
          <w:sz w:val="26"/>
          <w:szCs w:val="26"/>
        </w:rPr>
        <w:t xml:space="preserve"> Решением совета депутатов МО «Всеволожский муниципальный район» от 27.07.2017 № 56</w:t>
      </w:r>
      <w:r w:rsidR="006B2D0E">
        <w:rPr>
          <w:rFonts w:ascii="Times New Roman" w:hAnsi="Times New Roman"/>
          <w:sz w:val="26"/>
          <w:szCs w:val="26"/>
        </w:rPr>
        <w:t xml:space="preserve">, </w:t>
      </w:r>
      <w:r w:rsidR="00E835DB">
        <w:rPr>
          <w:rFonts w:ascii="Times New Roman" w:hAnsi="Times New Roman"/>
          <w:sz w:val="26"/>
          <w:szCs w:val="26"/>
        </w:rPr>
        <w:t>прогноз</w:t>
      </w:r>
      <w:r w:rsidR="006B2D0E">
        <w:rPr>
          <w:rFonts w:ascii="Times New Roman" w:hAnsi="Times New Roman"/>
          <w:sz w:val="26"/>
          <w:szCs w:val="26"/>
        </w:rPr>
        <w:t xml:space="preserve">ы </w:t>
      </w:r>
      <w:r w:rsidR="00E835DB">
        <w:rPr>
          <w:rFonts w:ascii="Times New Roman" w:hAnsi="Times New Roman"/>
          <w:sz w:val="26"/>
          <w:szCs w:val="26"/>
        </w:rPr>
        <w:t xml:space="preserve"> социа</w:t>
      </w:r>
      <w:r w:rsidR="006B2D0E">
        <w:rPr>
          <w:rFonts w:ascii="Times New Roman" w:hAnsi="Times New Roman"/>
          <w:sz w:val="26"/>
          <w:szCs w:val="26"/>
        </w:rPr>
        <w:t xml:space="preserve">льно-экономического </w:t>
      </w:r>
      <w:r w:rsidR="006B2D0E" w:rsidRPr="00731010">
        <w:rPr>
          <w:rFonts w:ascii="Times New Roman" w:hAnsi="Times New Roman"/>
          <w:sz w:val="26"/>
          <w:szCs w:val="26"/>
        </w:rPr>
        <w:t>развития на среднесрочную перспективу</w:t>
      </w:r>
      <w:r w:rsidR="00731010">
        <w:rPr>
          <w:rFonts w:ascii="Times New Roman" w:hAnsi="Times New Roman"/>
          <w:sz w:val="26"/>
          <w:szCs w:val="26"/>
        </w:rPr>
        <w:t>, муниципальные программы</w:t>
      </w:r>
      <w:r w:rsidRPr="003666B9">
        <w:rPr>
          <w:rFonts w:ascii="Times New Roman" w:hAnsi="Times New Roman"/>
          <w:sz w:val="26"/>
          <w:szCs w:val="26"/>
        </w:rPr>
        <w:t>.</w:t>
      </w:r>
    </w:p>
    <w:p w:rsidR="00793622" w:rsidRDefault="00793622" w:rsidP="007936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944B7" w:rsidRDefault="00A944B7" w:rsidP="007936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К числу приоритетных задач администрации МО «Всеволожский муниципальный район» в сфере инвестиционного развития относятся:</w:t>
      </w:r>
    </w:p>
    <w:p w:rsidR="00793622" w:rsidRPr="002A2453" w:rsidRDefault="00793622" w:rsidP="007936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944B7" w:rsidRPr="002A2453" w:rsidRDefault="00A944B7" w:rsidP="00A9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 xml:space="preserve">выявление и устранение административных барьеров при осуществлении инвестиционной деятельности, содействие развитию конкурентной среды </w:t>
      </w:r>
      <w:r w:rsidR="0073101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A2453">
        <w:rPr>
          <w:rFonts w:ascii="Times New Roman" w:hAnsi="Times New Roman" w:cs="Times New Roman"/>
          <w:sz w:val="26"/>
          <w:szCs w:val="26"/>
        </w:rPr>
        <w:t>во Всеволожском муниципальном районе Ленинградской области;</w:t>
      </w:r>
    </w:p>
    <w:p w:rsidR="00A944B7" w:rsidRPr="002A2453" w:rsidRDefault="00A944B7" w:rsidP="00A9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 xml:space="preserve">организация взаимодействия органов местного самоуправления Всеволожского муниципального района </w:t>
      </w:r>
      <w:r w:rsidRPr="002A2453">
        <w:rPr>
          <w:rFonts w:ascii="Times New Roman" w:hAnsi="Times New Roman" w:cs="Times New Roman"/>
          <w:spacing w:val="8"/>
          <w:sz w:val="26"/>
          <w:szCs w:val="26"/>
        </w:rPr>
        <w:t>Ленинградской области</w:t>
      </w:r>
      <w:r w:rsidRPr="002A2453">
        <w:rPr>
          <w:rFonts w:ascii="Times New Roman" w:hAnsi="Times New Roman" w:cs="Times New Roman"/>
          <w:sz w:val="26"/>
          <w:szCs w:val="26"/>
        </w:rPr>
        <w:t xml:space="preserve"> с инвесторами по вопросам, связанным с осуществлением инвестиционной деятельности на территории Всеволожского муниципального района </w:t>
      </w:r>
      <w:r w:rsidRPr="002A2453">
        <w:rPr>
          <w:rFonts w:ascii="Times New Roman" w:hAnsi="Times New Roman" w:cs="Times New Roman"/>
          <w:spacing w:val="8"/>
          <w:sz w:val="26"/>
          <w:szCs w:val="26"/>
        </w:rPr>
        <w:t>Ленинградской  области;</w:t>
      </w:r>
    </w:p>
    <w:p w:rsidR="00A944B7" w:rsidRPr="002A2453" w:rsidRDefault="00A944B7" w:rsidP="00A9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содействие актуализации информации об инвестиционных площадках для привлечения инвестиций;</w:t>
      </w:r>
    </w:p>
    <w:p w:rsidR="00A944B7" w:rsidRDefault="00A944B7" w:rsidP="00A9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содействие развитию конкуренции на территории Всеволожского муниципального района Ленинградской области.</w:t>
      </w:r>
    </w:p>
    <w:p w:rsidR="006704D2" w:rsidRDefault="006704D2" w:rsidP="004C402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2453" w:rsidRDefault="002A2453" w:rsidP="004C402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138AF">
        <w:rPr>
          <w:rFonts w:ascii="Times New Roman" w:hAnsi="Times New Roman" w:cs="Times New Roman"/>
          <w:sz w:val="26"/>
          <w:szCs w:val="26"/>
        </w:rPr>
        <w:t>С учетом приоритетов государственной политики целями реализации программы является:</w:t>
      </w:r>
    </w:p>
    <w:p w:rsidR="004C4024" w:rsidRPr="002A2453" w:rsidRDefault="004C4024" w:rsidP="004C402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2453" w:rsidRP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- Создание благоприятных условий для ведения предпринимательской деятельности, привлечения инвестиций в экономику Всеволожского муниципального района Ленинградской области.</w:t>
      </w:r>
    </w:p>
    <w:p w:rsidR="002A2453" w:rsidRP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- Совершенствование системы стратегического управления социально-экономическим развитием Всеволожского муниципального района Ленинградской области.</w:t>
      </w:r>
    </w:p>
    <w:p w:rsidR="002A2453" w:rsidRP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- 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области.</w:t>
      </w:r>
    </w:p>
    <w:p w:rsidR="002A2453" w:rsidRPr="002A2453" w:rsidRDefault="002A2453" w:rsidP="002A24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2453" w:rsidRDefault="002A2453" w:rsidP="004C402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обеспечить решение следующих задач:</w:t>
      </w:r>
    </w:p>
    <w:p w:rsidR="004C4024" w:rsidRPr="002A2453" w:rsidRDefault="004C4024" w:rsidP="004C402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A2453" w:rsidRP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-  Улучшение условий ведения предпринимательской деятельности во Всеволожском муниципальном районе Ленинградской области и привлечение инвестиций.</w:t>
      </w:r>
    </w:p>
    <w:p w:rsidR="002A2453" w:rsidRP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- Совершенствование</w:t>
      </w:r>
      <w:r w:rsidRPr="002A2453">
        <w:rPr>
          <w:i/>
          <w:iCs/>
        </w:rPr>
        <w:t xml:space="preserve"> </w:t>
      </w:r>
      <w:r w:rsidRPr="002A2453">
        <w:rPr>
          <w:rFonts w:ascii="Times New Roman" w:hAnsi="Times New Roman" w:cs="Times New Roman"/>
          <w:iCs/>
          <w:sz w:val="26"/>
          <w:szCs w:val="26"/>
        </w:rPr>
        <w:t>системы стратегического планирования и прогнозирования.</w:t>
      </w:r>
    </w:p>
    <w:p w:rsidR="002A2453" w:rsidRP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-  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области.</w:t>
      </w:r>
    </w:p>
    <w:p w:rsidR="002A2453" w:rsidRP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- Реализация схемы территориального планирования Всеволожского муниципального района.</w:t>
      </w:r>
    </w:p>
    <w:p w:rsidR="002A2453" w:rsidRPr="002A2453" w:rsidRDefault="002A2453" w:rsidP="002A24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2453" w:rsidRPr="002A2453" w:rsidRDefault="002A2453" w:rsidP="007A78D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6BCD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 к концу 202</w:t>
      </w:r>
      <w:r w:rsidR="00753C06">
        <w:rPr>
          <w:rFonts w:ascii="Times New Roman" w:hAnsi="Times New Roman" w:cs="Times New Roman"/>
          <w:sz w:val="26"/>
          <w:szCs w:val="26"/>
        </w:rPr>
        <w:t>5</w:t>
      </w:r>
      <w:r w:rsidRPr="00926BCD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2A2453" w:rsidRDefault="002A2453" w:rsidP="002A24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0A85" w:rsidRPr="00B70730" w:rsidRDefault="00C10A85" w:rsidP="00793622">
      <w:pPr>
        <w:widowControl w:val="0"/>
        <w:ind w:firstLine="15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</w:t>
      </w:r>
      <w:r w:rsidRPr="00B70730">
        <w:rPr>
          <w:sz w:val="26"/>
          <w:szCs w:val="26"/>
        </w:rPr>
        <w:t xml:space="preserve">величение объема </w:t>
      </w:r>
      <w:r>
        <w:rPr>
          <w:sz w:val="26"/>
          <w:szCs w:val="26"/>
        </w:rPr>
        <w:t>инвестиций</w:t>
      </w:r>
      <w:r w:rsidRPr="00B70730">
        <w:rPr>
          <w:sz w:val="26"/>
          <w:szCs w:val="26"/>
        </w:rPr>
        <w:t xml:space="preserve"> в основной капитал с 52,0 млрд. рубле</w:t>
      </w:r>
      <w:r>
        <w:rPr>
          <w:sz w:val="26"/>
          <w:szCs w:val="26"/>
        </w:rPr>
        <w:t>й</w:t>
      </w:r>
      <w:r w:rsidRPr="00B70730">
        <w:rPr>
          <w:sz w:val="26"/>
          <w:szCs w:val="26"/>
        </w:rPr>
        <w:t xml:space="preserve"> в 2019 году до </w:t>
      </w:r>
      <w:r w:rsidR="004C5B2D">
        <w:rPr>
          <w:sz w:val="26"/>
          <w:szCs w:val="26"/>
        </w:rPr>
        <w:t>72,1</w:t>
      </w:r>
      <w:r w:rsidRPr="00B70730">
        <w:rPr>
          <w:sz w:val="26"/>
          <w:szCs w:val="26"/>
        </w:rPr>
        <w:t xml:space="preserve"> млрд. рублей;</w:t>
      </w:r>
    </w:p>
    <w:p w:rsidR="00C10A85" w:rsidRDefault="00C10A85" w:rsidP="00793622">
      <w:pPr>
        <w:widowControl w:val="0"/>
        <w:ind w:firstLine="1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У</w:t>
      </w:r>
      <w:r w:rsidRPr="00B70730">
        <w:rPr>
          <w:sz w:val="26"/>
          <w:szCs w:val="26"/>
        </w:rPr>
        <w:t xml:space="preserve">величение объема отгруженных товаров собственного производства, выполненных работ и услуг собственными силами (обрабатывающие производства) с 150,8 млрд. рублей в 2019 году до </w:t>
      </w:r>
      <w:r w:rsidR="00BF6EBA">
        <w:rPr>
          <w:sz w:val="26"/>
          <w:szCs w:val="26"/>
        </w:rPr>
        <w:t>195,0</w:t>
      </w:r>
      <w:r w:rsidRPr="00B70730">
        <w:rPr>
          <w:sz w:val="26"/>
          <w:szCs w:val="26"/>
        </w:rPr>
        <w:t xml:space="preserve"> млрд. рублей;</w:t>
      </w:r>
    </w:p>
    <w:p w:rsidR="00C10A85" w:rsidRDefault="00C10A85" w:rsidP="00793622">
      <w:pPr>
        <w:widowControl w:val="0"/>
        <w:ind w:firstLine="1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Увеличение среднемесячной заработной платы работников обрабатывающих производств </w:t>
      </w:r>
      <w:r w:rsidRPr="005B07AA">
        <w:rPr>
          <w:sz w:val="26"/>
          <w:szCs w:val="26"/>
        </w:rPr>
        <w:t xml:space="preserve">с 64 022 руб. в 2019 году до </w:t>
      </w:r>
      <w:r w:rsidR="00C152D6">
        <w:rPr>
          <w:sz w:val="26"/>
          <w:szCs w:val="26"/>
        </w:rPr>
        <w:t>96 803 руб.</w:t>
      </w:r>
      <w:r w:rsidRPr="005B07AA">
        <w:rPr>
          <w:sz w:val="26"/>
          <w:szCs w:val="26"/>
        </w:rPr>
        <w:t>;</w:t>
      </w:r>
    </w:p>
    <w:p w:rsidR="00731010" w:rsidRPr="00731010" w:rsidRDefault="00C10A85" w:rsidP="00731010">
      <w:pPr>
        <w:widowControl w:val="0"/>
        <w:ind w:firstLine="156"/>
        <w:jc w:val="both"/>
        <w:rPr>
          <w:sz w:val="26"/>
          <w:szCs w:val="26"/>
        </w:rPr>
      </w:pPr>
      <w:r w:rsidRPr="00731010">
        <w:rPr>
          <w:sz w:val="26"/>
          <w:szCs w:val="26"/>
        </w:rPr>
        <w:t>-</w:t>
      </w:r>
      <w:r w:rsidRPr="00731010">
        <w:rPr>
          <w:sz w:val="26"/>
          <w:szCs w:val="26"/>
        </w:rPr>
        <w:tab/>
      </w:r>
      <w:r w:rsidR="00731010" w:rsidRPr="00731010">
        <w:rPr>
          <w:sz w:val="26"/>
          <w:szCs w:val="26"/>
        </w:rPr>
        <w:t>проведение оценки регулирующего воздействия всех административных регламентов предоставления муниципальных услуг, включенных в инвестиционный стандарт;</w:t>
      </w:r>
    </w:p>
    <w:p w:rsidR="00731010" w:rsidRPr="00731010" w:rsidRDefault="00731010" w:rsidP="00731010">
      <w:pPr>
        <w:autoSpaceDE w:val="0"/>
        <w:autoSpaceDN w:val="0"/>
        <w:adjustRightInd w:val="0"/>
        <w:ind w:firstLine="156"/>
        <w:jc w:val="both"/>
        <w:rPr>
          <w:sz w:val="26"/>
          <w:szCs w:val="26"/>
        </w:rPr>
      </w:pPr>
      <w:r w:rsidRPr="00731010">
        <w:rPr>
          <w:sz w:val="26"/>
          <w:szCs w:val="26"/>
        </w:rPr>
        <w:t>- разработка новых стратегических и программных документов развития Всеволожского района Ленинградской области, обеспечивающих реализацию комплексных задач развития;</w:t>
      </w:r>
    </w:p>
    <w:p w:rsidR="00731010" w:rsidRPr="00731010" w:rsidRDefault="00731010" w:rsidP="00731010">
      <w:pPr>
        <w:widowControl w:val="0"/>
        <w:ind w:firstLine="156"/>
        <w:jc w:val="both"/>
        <w:rPr>
          <w:sz w:val="26"/>
          <w:szCs w:val="26"/>
        </w:rPr>
      </w:pPr>
      <w:r w:rsidRPr="00731010">
        <w:rPr>
          <w:sz w:val="26"/>
          <w:szCs w:val="26"/>
        </w:rPr>
        <w:t xml:space="preserve">- снижение сроков предоставления муниципальных услуг, включенных </w:t>
      </w:r>
      <w:r>
        <w:rPr>
          <w:sz w:val="26"/>
          <w:szCs w:val="26"/>
        </w:rPr>
        <w:t xml:space="preserve">                                      </w:t>
      </w:r>
      <w:r w:rsidRPr="00731010">
        <w:rPr>
          <w:sz w:val="26"/>
          <w:szCs w:val="26"/>
        </w:rPr>
        <w:t>в инвестиционный стандарт;</w:t>
      </w:r>
    </w:p>
    <w:p w:rsidR="002A2453" w:rsidRPr="00731010" w:rsidRDefault="00731010" w:rsidP="00731010">
      <w:pPr>
        <w:widowControl w:val="0"/>
        <w:ind w:firstLine="156"/>
        <w:jc w:val="both"/>
        <w:rPr>
          <w:sz w:val="26"/>
          <w:szCs w:val="26"/>
        </w:rPr>
      </w:pPr>
      <w:r w:rsidRPr="00731010">
        <w:rPr>
          <w:sz w:val="26"/>
          <w:szCs w:val="26"/>
        </w:rPr>
        <w:t>- высокое к</w:t>
      </w:r>
      <w:r w:rsidRPr="00731010">
        <w:rPr>
          <w:rFonts w:eastAsiaTheme="minorHAnsi"/>
          <w:sz w:val="26"/>
          <w:szCs w:val="26"/>
          <w:lang w:eastAsia="en-US"/>
        </w:rPr>
        <w:t>ачество утвержденной схемы территориального планирования</w:t>
      </w:r>
      <w:r w:rsidRPr="00731010">
        <w:rPr>
          <w:sz w:val="26"/>
          <w:szCs w:val="26"/>
        </w:rPr>
        <w:t>.</w:t>
      </w:r>
    </w:p>
    <w:p w:rsidR="00A944B7" w:rsidRPr="006B3629" w:rsidRDefault="00A944B7" w:rsidP="00A94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A944B7" w:rsidRPr="006B3629" w:rsidRDefault="002A2453" w:rsidP="00A944B7">
      <w:pPr>
        <w:pStyle w:val="25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B3629">
        <w:rPr>
          <w:rFonts w:ascii="Times New Roman" w:hAnsi="Times New Roman"/>
          <w:b/>
          <w:sz w:val="26"/>
          <w:szCs w:val="26"/>
        </w:rPr>
        <w:t>Перечень целевых показателей (индикаторов) муниципальной программы</w:t>
      </w:r>
    </w:p>
    <w:p w:rsidR="006B3629" w:rsidRPr="006B3629" w:rsidRDefault="006B3629" w:rsidP="006B3629">
      <w:pPr>
        <w:pStyle w:val="25"/>
        <w:tabs>
          <w:tab w:val="left" w:pos="360"/>
        </w:tabs>
        <w:suppressAutoHyphens w:val="0"/>
        <w:autoSpaceDE w:val="0"/>
        <w:autoSpaceDN w:val="0"/>
        <w:adjustRightInd w:val="0"/>
        <w:ind w:left="0"/>
        <w:contextualSpacing/>
        <w:rPr>
          <w:rFonts w:ascii="Times New Roman" w:hAnsi="Times New Roman"/>
          <w:b/>
          <w:sz w:val="26"/>
          <w:szCs w:val="26"/>
        </w:rPr>
      </w:pPr>
    </w:p>
    <w:p w:rsidR="006B3629" w:rsidRPr="006B3629" w:rsidRDefault="006B107F" w:rsidP="006B36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показателях (индикаторах) муниципальной программы и их </w:t>
      </w:r>
      <w:r w:rsidR="006B3629" w:rsidRPr="006B3629">
        <w:rPr>
          <w:rFonts w:ascii="Times New Roman" w:hAnsi="Times New Roman" w:cs="Times New Roman"/>
          <w:sz w:val="26"/>
          <w:szCs w:val="26"/>
        </w:rPr>
        <w:t xml:space="preserve">значения представлены в </w:t>
      </w:r>
      <w:hyperlink w:anchor="P4209" w:history="1">
        <w:r w:rsidR="006B3629" w:rsidRPr="006B3629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="006B3629" w:rsidRPr="006B3629">
        <w:rPr>
          <w:rFonts w:ascii="Times New Roman" w:hAnsi="Times New Roman" w:cs="Times New Roman"/>
          <w:sz w:val="26"/>
          <w:szCs w:val="26"/>
        </w:rPr>
        <w:t>1 к Муниципальной программе.</w:t>
      </w:r>
    </w:p>
    <w:p w:rsidR="00A944B7" w:rsidRPr="00425EAD" w:rsidRDefault="00A944B7" w:rsidP="00A9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944B7" w:rsidRPr="00425EAD" w:rsidRDefault="00A944B7" w:rsidP="00A9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944B7" w:rsidRPr="00555B04" w:rsidRDefault="00555B04" w:rsidP="00A944B7">
      <w:pPr>
        <w:pStyle w:val="ConsPlusNormal"/>
        <w:numPr>
          <w:ilvl w:val="0"/>
          <w:numId w:val="4"/>
        </w:numPr>
        <w:adjustRightInd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5B04">
        <w:rPr>
          <w:rFonts w:ascii="Times New Roman" w:hAnsi="Times New Roman" w:cs="Times New Roman"/>
          <w:b/>
          <w:sz w:val="26"/>
          <w:szCs w:val="26"/>
        </w:rPr>
        <w:t>План мероприятий по реализации муниципальной программы</w:t>
      </w:r>
    </w:p>
    <w:p w:rsidR="00A944B7" w:rsidRPr="00425EAD" w:rsidRDefault="00A944B7" w:rsidP="00A944B7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F145C" w:rsidRPr="00812671" w:rsidRDefault="00812671" w:rsidP="00812671">
      <w:pPr>
        <w:ind w:firstLine="540"/>
        <w:jc w:val="both"/>
        <w:rPr>
          <w:sz w:val="26"/>
          <w:szCs w:val="26"/>
        </w:rPr>
      </w:pPr>
      <w:r w:rsidRPr="00812671">
        <w:rPr>
          <w:bCs/>
          <w:sz w:val="26"/>
          <w:szCs w:val="26"/>
        </w:rPr>
        <w:t xml:space="preserve">План мероприятий по реализации программы </w:t>
      </w:r>
      <w:r w:rsidRPr="00812671">
        <w:rPr>
          <w:sz w:val="26"/>
          <w:szCs w:val="26"/>
        </w:rPr>
        <w:t>представлен</w:t>
      </w:r>
      <w:r w:rsidR="00DF145C" w:rsidRPr="00812671">
        <w:rPr>
          <w:sz w:val="26"/>
          <w:szCs w:val="26"/>
        </w:rPr>
        <w:t xml:space="preserve"> в </w:t>
      </w:r>
      <w:hyperlink w:anchor="P4209" w:history="1">
        <w:r w:rsidR="00DF145C" w:rsidRPr="00812671">
          <w:rPr>
            <w:sz w:val="26"/>
            <w:szCs w:val="26"/>
          </w:rPr>
          <w:t xml:space="preserve">приложении </w:t>
        </w:r>
      </w:hyperlink>
      <w:r w:rsidR="00DF145C" w:rsidRPr="00812671">
        <w:rPr>
          <w:sz w:val="26"/>
          <w:szCs w:val="26"/>
        </w:rPr>
        <w:t>2 к Муниципальной программе.</w:t>
      </w:r>
    </w:p>
    <w:p w:rsidR="00A944B7" w:rsidRPr="00425EAD" w:rsidRDefault="00A944B7" w:rsidP="00A944B7">
      <w:pPr>
        <w:pStyle w:val="25"/>
        <w:ind w:left="0"/>
        <w:rPr>
          <w:rFonts w:ascii="Times New Roman" w:hAnsi="Times New Roman"/>
          <w:sz w:val="26"/>
          <w:szCs w:val="26"/>
          <w:highlight w:val="yellow"/>
        </w:rPr>
      </w:pPr>
    </w:p>
    <w:p w:rsidR="00A944B7" w:rsidRPr="00425EAD" w:rsidRDefault="00A944B7" w:rsidP="00A944B7">
      <w:pPr>
        <w:pStyle w:val="25"/>
        <w:ind w:left="0"/>
        <w:rPr>
          <w:rFonts w:ascii="Times New Roman" w:hAnsi="Times New Roman"/>
          <w:sz w:val="26"/>
          <w:szCs w:val="26"/>
          <w:highlight w:val="yellow"/>
        </w:rPr>
      </w:pPr>
    </w:p>
    <w:p w:rsidR="00A944B7" w:rsidRPr="009D480D" w:rsidRDefault="00A10084" w:rsidP="00A944B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9D480D">
        <w:rPr>
          <w:rFonts w:ascii="Times New Roman" w:hAnsi="Times New Roman"/>
          <w:sz w:val="26"/>
          <w:szCs w:val="26"/>
          <w:lang w:val="en-US"/>
        </w:rPr>
        <w:t>V</w:t>
      </w:r>
      <w:r w:rsidR="00A944B7" w:rsidRPr="009D480D">
        <w:rPr>
          <w:rFonts w:ascii="Times New Roman" w:hAnsi="Times New Roman"/>
          <w:sz w:val="26"/>
          <w:szCs w:val="26"/>
        </w:rPr>
        <w:t xml:space="preserve">. </w:t>
      </w:r>
      <w:r w:rsidR="007F104A" w:rsidRPr="009D480D">
        <w:rPr>
          <w:rFonts w:ascii="Times New Roman" w:hAnsi="Times New Roman"/>
          <w:sz w:val="26"/>
          <w:szCs w:val="26"/>
          <w:lang w:val="ru-RU"/>
        </w:rPr>
        <w:t>Оценка эффективности реализации муниципальной программы</w:t>
      </w:r>
    </w:p>
    <w:p w:rsidR="00A944B7" w:rsidRPr="009D480D" w:rsidRDefault="00A944B7" w:rsidP="00A944B7">
      <w:pPr>
        <w:ind w:firstLine="720"/>
        <w:jc w:val="both"/>
        <w:rPr>
          <w:sz w:val="26"/>
          <w:szCs w:val="26"/>
        </w:rPr>
      </w:pPr>
    </w:p>
    <w:p w:rsidR="00A944B7" w:rsidRPr="00682B86" w:rsidRDefault="00A944B7" w:rsidP="00A944B7">
      <w:pPr>
        <w:pStyle w:val="a3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682B86">
        <w:rPr>
          <w:rFonts w:ascii="Times New Roman" w:hAnsi="Times New Roman"/>
          <w:color w:val="auto"/>
          <w:sz w:val="26"/>
          <w:szCs w:val="26"/>
        </w:rPr>
        <w:t>Анализ эффективности реализации</w:t>
      </w:r>
      <w:r w:rsidR="002F0CBF" w:rsidRPr="00682B8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82B86">
        <w:rPr>
          <w:rFonts w:ascii="Times New Roman" w:hAnsi="Times New Roman"/>
          <w:color w:val="auto"/>
          <w:sz w:val="26"/>
          <w:szCs w:val="26"/>
        </w:rPr>
        <w:t>программы проводится на основе оценки:</w:t>
      </w:r>
    </w:p>
    <w:p w:rsidR="008E228A" w:rsidRDefault="008E228A" w:rsidP="008E228A">
      <w:pPr>
        <w:pStyle w:val="a3"/>
        <w:numPr>
          <w:ilvl w:val="1"/>
          <w:numId w:val="5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 xml:space="preserve">Степени достижения целей и решения задач муниципальной программы </w:t>
      </w: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 </w:t>
      </w:r>
      <w:r w:rsidRPr="008E228A">
        <w:rPr>
          <w:rFonts w:ascii="Times New Roman" w:hAnsi="Times New Roman"/>
          <w:color w:val="auto"/>
          <w:sz w:val="26"/>
          <w:szCs w:val="26"/>
        </w:rPr>
        <w:t>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С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= ∑ С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r w:rsidRPr="008E228A">
        <w:rPr>
          <w:rFonts w:ascii="Times New Roman" w:hAnsi="Times New Roman"/>
          <w:color w:val="auto"/>
          <w:sz w:val="26"/>
          <w:szCs w:val="26"/>
        </w:rPr>
        <w:t>/</w:t>
      </w:r>
      <w:r w:rsidRPr="008E228A">
        <w:rPr>
          <w:rFonts w:ascii="Times New Roman" w:hAnsi="Times New Roman"/>
          <w:color w:val="auto"/>
          <w:sz w:val="26"/>
          <w:szCs w:val="26"/>
          <w:lang w:val="en-US"/>
        </w:rPr>
        <w:t>N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С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= З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/З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* 100% ,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где: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С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д – </w:t>
      </w:r>
      <w:r w:rsidRPr="008E228A">
        <w:rPr>
          <w:rFonts w:ascii="Times New Roman" w:hAnsi="Times New Roman"/>
          <w:color w:val="auto"/>
          <w:sz w:val="26"/>
          <w:szCs w:val="26"/>
        </w:rPr>
        <w:t>степень достижения целей (решения задач);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  <w:lang w:val="en-US"/>
        </w:rPr>
        <w:t>N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– количество показателей (индикаторов);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С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– степень достижения значения конкретного показателя;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З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E228A">
        <w:rPr>
          <w:rFonts w:ascii="Times New Roman" w:hAnsi="Times New Roman"/>
          <w:color w:val="auto"/>
          <w:sz w:val="26"/>
          <w:szCs w:val="26"/>
        </w:rPr>
        <w:t>– фактическое значение целевого показателя (инди</w:t>
      </w:r>
      <w:r>
        <w:rPr>
          <w:rFonts w:ascii="Times New Roman" w:hAnsi="Times New Roman"/>
          <w:color w:val="auto"/>
          <w:sz w:val="26"/>
          <w:szCs w:val="26"/>
        </w:rPr>
        <w:t>катора) муниципальной программы</w:t>
      </w:r>
      <w:r w:rsidRPr="008E228A">
        <w:rPr>
          <w:rFonts w:ascii="Times New Roman" w:hAnsi="Times New Roman"/>
          <w:color w:val="auto"/>
          <w:sz w:val="26"/>
          <w:szCs w:val="26"/>
        </w:rPr>
        <w:t>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З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п 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– плановое значение целевого показателя (индикатора) </w:t>
      </w:r>
      <w:r>
        <w:rPr>
          <w:rFonts w:ascii="Times New Roman" w:hAnsi="Times New Roman"/>
          <w:color w:val="auto"/>
          <w:sz w:val="26"/>
          <w:szCs w:val="26"/>
        </w:rPr>
        <w:t>муниципальной программы</w:t>
      </w:r>
      <w:r w:rsidRPr="008E228A">
        <w:rPr>
          <w:rFonts w:ascii="Times New Roman" w:hAnsi="Times New Roman"/>
          <w:color w:val="auto"/>
          <w:sz w:val="26"/>
          <w:szCs w:val="26"/>
        </w:rPr>
        <w:t>.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8E228A" w:rsidRPr="008E228A" w:rsidRDefault="008E228A" w:rsidP="008E228A">
      <w:pPr>
        <w:pStyle w:val="a3"/>
        <w:numPr>
          <w:ilvl w:val="1"/>
          <w:numId w:val="5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lastRenderedPageBreak/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</w:t>
      </w: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            </w:t>
      </w:r>
      <w:r w:rsidRPr="008E228A">
        <w:rPr>
          <w:rFonts w:ascii="Times New Roman" w:hAnsi="Times New Roman"/>
          <w:color w:val="auto"/>
          <w:sz w:val="26"/>
          <w:szCs w:val="26"/>
        </w:rPr>
        <w:t>и плановых объемов финансирования программы по формуле: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У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= Ф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/ Ф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* 100%,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где: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У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E228A">
        <w:rPr>
          <w:rFonts w:ascii="Times New Roman" w:hAnsi="Times New Roman"/>
          <w:color w:val="auto"/>
          <w:sz w:val="26"/>
          <w:szCs w:val="26"/>
        </w:rPr>
        <w:t>– уровень финансирования реализации основных мероприятий муниципальной программы;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Ф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E228A">
        <w:rPr>
          <w:rFonts w:ascii="Times New Roman" w:hAnsi="Times New Roman"/>
          <w:color w:val="auto"/>
          <w:sz w:val="26"/>
          <w:szCs w:val="26"/>
        </w:rPr>
        <w:t>– фактический объем финансовых ресурсов, направленный на реализацию мероприятий муниципальной программы;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Ф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п </w:t>
      </w:r>
      <w:r w:rsidRPr="008E228A">
        <w:rPr>
          <w:rFonts w:ascii="Times New Roman" w:hAnsi="Times New Roman"/>
          <w:color w:val="auto"/>
          <w:sz w:val="26"/>
          <w:szCs w:val="26"/>
        </w:rPr>
        <w:t>– плановый объем финансовых ресурсов на реализацию муниципальной программы  на соответствующий отчетный период.</w:t>
      </w:r>
    </w:p>
    <w:p w:rsidR="008E228A" w:rsidRPr="008E228A" w:rsidRDefault="008E228A" w:rsidP="008E228A">
      <w:pPr>
        <w:pStyle w:val="a3"/>
        <w:numPr>
          <w:ilvl w:val="1"/>
          <w:numId w:val="5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8E228A" w:rsidRPr="008E228A" w:rsidRDefault="008E228A" w:rsidP="008E228A">
      <w:pPr>
        <w:pStyle w:val="a3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E228A" w:rsidRPr="008E228A" w:rsidRDefault="008E228A" w:rsidP="008E228A">
      <w:pPr>
        <w:pStyle w:val="a3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М = М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/ М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r w:rsidRPr="008E228A">
        <w:rPr>
          <w:rFonts w:ascii="Times New Roman" w:hAnsi="Times New Roman"/>
          <w:color w:val="auto"/>
          <w:sz w:val="26"/>
          <w:szCs w:val="26"/>
        </w:rPr>
        <w:t xml:space="preserve"> * 100%,</w:t>
      </w:r>
    </w:p>
    <w:p w:rsidR="008E228A" w:rsidRPr="008E228A" w:rsidRDefault="008E228A" w:rsidP="008E228A">
      <w:pPr>
        <w:pStyle w:val="a3"/>
        <w:numPr>
          <w:ilvl w:val="0"/>
          <w:numId w:val="5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где:</w:t>
      </w:r>
    </w:p>
    <w:p w:rsidR="008E228A" w:rsidRPr="008E228A" w:rsidRDefault="008E228A" w:rsidP="008E228A">
      <w:pPr>
        <w:pStyle w:val="a3"/>
        <w:numPr>
          <w:ilvl w:val="0"/>
          <w:numId w:val="5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М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E228A">
        <w:rPr>
          <w:rFonts w:ascii="Times New Roman" w:hAnsi="Times New Roman"/>
          <w:color w:val="auto"/>
          <w:sz w:val="26"/>
          <w:szCs w:val="26"/>
        </w:rPr>
        <w:t>– реализация мероприятий программы;</w:t>
      </w:r>
    </w:p>
    <w:p w:rsidR="008E228A" w:rsidRPr="008E228A" w:rsidRDefault="008E228A" w:rsidP="008E228A">
      <w:pPr>
        <w:pStyle w:val="a3"/>
        <w:numPr>
          <w:ilvl w:val="0"/>
          <w:numId w:val="5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М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E228A">
        <w:rPr>
          <w:rFonts w:ascii="Times New Roman" w:hAnsi="Times New Roman"/>
          <w:color w:val="auto"/>
          <w:sz w:val="26"/>
          <w:szCs w:val="26"/>
        </w:rPr>
        <w:t>– количество фактически исполненных мероприятий программы;</w:t>
      </w:r>
    </w:p>
    <w:p w:rsidR="008E228A" w:rsidRPr="008E228A" w:rsidRDefault="008E228A" w:rsidP="008E228A">
      <w:pPr>
        <w:pStyle w:val="a3"/>
        <w:numPr>
          <w:ilvl w:val="0"/>
          <w:numId w:val="5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М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r w:rsidRPr="008E228A">
        <w:rPr>
          <w:rFonts w:ascii="Times New Roman" w:hAnsi="Times New Roman"/>
          <w:color w:val="auto"/>
          <w:sz w:val="26"/>
          <w:szCs w:val="26"/>
        </w:rPr>
        <w:t>– количество запланированных мероприятий программы.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ab/>
        <w:t>Для определения уровня эффективности программы показатели оценки суммируются с учетом применения взвешенных коэффициентов к каждому показателю: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6"/>
          <w:szCs w:val="26"/>
          <w:vertAlign w:val="subscript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для С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д  </w:t>
      </w:r>
      <w:r w:rsidRPr="008E228A">
        <w:rPr>
          <w:rFonts w:ascii="Times New Roman" w:hAnsi="Times New Roman"/>
          <w:color w:val="auto"/>
          <w:sz w:val="26"/>
          <w:szCs w:val="26"/>
        </w:rPr>
        <w:t>– 0,5;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6"/>
          <w:szCs w:val="26"/>
          <w:vertAlign w:val="subscript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>для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E228A">
        <w:rPr>
          <w:rFonts w:ascii="Times New Roman" w:hAnsi="Times New Roman"/>
          <w:color w:val="auto"/>
          <w:sz w:val="26"/>
          <w:szCs w:val="26"/>
        </w:rPr>
        <w:t>У</w:t>
      </w:r>
      <w:r w:rsidRPr="008E228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E228A">
        <w:rPr>
          <w:rFonts w:ascii="Times New Roman" w:hAnsi="Times New Roman"/>
          <w:color w:val="auto"/>
          <w:sz w:val="26"/>
          <w:szCs w:val="26"/>
        </w:rPr>
        <w:t>– 0,2;</w:t>
      </w:r>
    </w:p>
    <w:p w:rsidR="008E228A" w:rsidRPr="008E228A" w:rsidRDefault="008E228A" w:rsidP="008E228A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8E228A">
        <w:rPr>
          <w:rFonts w:ascii="Times New Roman" w:hAnsi="Times New Roman"/>
          <w:color w:val="auto"/>
          <w:sz w:val="26"/>
          <w:szCs w:val="26"/>
        </w:rPr>
        <w:t xml:space="preserve">для </w:t>
      </w:r>
      <w:r w:rsidRPr="008E228A">
        <w:rPr>
          <w:rFonts w:ascii="Times New Roman" w:hAnsi="Times New Roman"/>
          <w:sz w:val="26"/>
          <w:szCs w:val="26"/>
        </w:rPr>
        <w:t xml:space="preserve">М </w:t>
      </w:r>
      <w:r w:rsidRPr="008E228A">
        <w:rPr>
          <w:rFonts w:ascii="Times New Roman" w:hAnsi="Times New Roman"/>
          <w:color w:val="auto"/>
          <w:sz w:val="26"/>
          <w:szCs w:val="26"/>
        </w:rPr>
        <w:t>– 0,3;</w:t>
      </w:r>
    </w:p>
    <w:p w:rsidR="008E228A" w:rsidRPr="008E228A" w:rsidRDefault="008E228A" w:rsidP="008E228A">
      <w:pPr>
        <w:tabs>
          <w:tab w:val="left" w:pos="960"/>
        </w:tabs>
        <w:ind w:firstLine="720"/>
        <w:jc w:val="both"/>
        <w:rPr>
          <w:sz w:val="26"/>
          <w:szCs w:val="26"/>
        </w:rPr>
      </w:pPr>
    </w:p>
    <w:p w:rsidR="008E228A" w:rsidRPr="008E228A" w:rsidRDefault="008E228A" w:rsidP="008E228A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E228A">
        <w:rPr>
          <w:sz w:val="26"/>
          <w:szCs w:val="26"/>
        </w:rPr>
        <w:t>Муниципальная программа считается реализованной:</w:t>
      </w:r>
    </w:p>
    <w:p w:rsidR="008E228A" w:rsidRPr="008E228A" w:rsidRDefault="008E228A" w:rsidP="008E228A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E228A">
        <w:rPr>
          <w:sz w:val="26"/>
          <w:szCs w:val="26"/>
        </w:rPr>
        <w:t>-  при эффективности 95% и более – с высоким уровнем;</w:t>
      </w:r>
    </w:p>
    <w:p w:rsidR="008E228A" w:rsidRPr="008E228A" w:rsidRDefault="008E228A" w:rsidP="008E228A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E228A">
        <w:rPr>
          <w:sz w:val="26"/>
          <w:szCs w:val="26"/>
        </w:rPr>
        <w:t>-  при эффективности 75-95% – с удовлетворительным уровнем;</w:t>
      </w:r>
    </w:p>
    <w:p w:rsidR="008E228A" w:rsidRPr="008E228A" w:rsidRDefault="008E228A" w:rsidP="008E228A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E228A">
        <w:rPr>
          <w:sz w:val="26"/>
          <w:szCs w:val="26"/>
        </w:rPr>
        <w:t>-  при эффективности менее 75% – с неудовлетворительным уровнем.</w:t>
      </w:r>
    </w:p>
    <w:p w:rsidR="00A944B7" w:rsidRPr="00425EAD" w:rsidRDefault="00A944B7" w:rsidP="00E32FBC">
      <w:pPr>
        <w:tabs>
          <w:tab w:val="num" w:pos="0"/>
        </w:tabs>
        <w:ind w:firstLine="748"/>
        <w:jc w:val="both"/>
        <w:rPr>
          <w:sz w:val="28"/>
          <w:szCs w:val="28"/>
          <w:highlight w:val="yellow"/>
        </w:rPr>
        <w:sectPr w:rsidR="00A944B7" w:rsidRPr="00425EAD" w:rsidSect="00E218A0">
          <w:pgSz w:w="11906" w:h="16838"/>
          <w:pgMar w:top="851" w:right="680" w:bottom="426" w:left="1701" w:header="709" w:footer="709" w:gutter="0"/>
          <w:cols w:space="708"/>
          <w:docGrid w:linePitch="360"/>
        </w:sectPr>
      </w:pPr>
    </w:p>
    <w:p w:rsidR="00A944B7" w:rsidRPr="00666DAE" w:rsidRDefault="006B7AC7" w:rsidP="00A944B7">
      <w:pPr>
        <w:jc w:val="right"/>
        <w:rPr>
          <w:sz w:val="26"/>
          <w:szCs w:val="26"/>
          <w:lang w:eastAsia="en-US"/>
        </w:rPr>
      </w:pPr>
      <w:r w:rsidRPr="00666DAE">
        <w:rPr>
          <w:sz w:val="26"/>
          <w:szCs w:val="26"/>
          <w:lang w:eastAsia="en-US"/>
        </w:rPr>
        <w:lastRenderedPageBreak/>
        <w:t xml:space="preserve">Приложение 1 к </w:t>
      </w:r>
      <w:r w:rsidR="00A944B7" w:rsidRPr="00666DAE">
        <w:rPr>
          <w:sz w:val="26"/>
          <w:szCs w:val="26"/>
          <w:lang w:eastAsia="en-US"/>
        </w:rPr>
        <w:t>программе</w:t>
      </w:r>
    </w:p>
    <w:p w:rsidR="00A944B7" w:rsidRPr="00425EAD" w:rsidRDefault="00A944B7" w:rsidP="00A944B7">
      <w:pPr>
        <w:spacing w:after="120"/>
        <w:jc w:val="center"/>
        <w:rPr>
          <w:szCs w:val="22"/>
          <w:highlight w:val="yellow"/>
          <w:lang w:eastAsia="en-US"/>
        </w:rPr>
      </w:pPr>
    </w:p>
    <w:p w:rsidR="00D623F7" w:rsidRDefault="00D623F7" w:rsidP="00D623F7">
      <w:pPr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D623F7" w:rsidRDefault="00D623F7" w:rsidP="00D623F7">
      <w:pPr>
        <w:spacing w:line="276" w:lineRule="auto"/>
        <w:jc w:val="center"/>
        <w:textAlignment w:val="baseline"/>
        <w:rPr>
          <w:b/>
          <w:sz w:val="28"/>
          <w:szCs w:val="28"/>
        </w:rPr>
      </w:pPr>
    </w:p>
    <w:tbl>
      <w:tblPr>
        <w:tblW w:w="15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4"/>
        <w:gridCol w:w="1132"/>
        <w:gridCol w:w="1134"/>
        <w:gridCol w:w="1419"/>
        <w:gridCol w:w="1417"/>
        <w:gridCol w:w="1418"/>
        <w:gridCol w:w="1417"/>
        <w:gridCol w:w="1418"/>
      </w:tblGrid>
      <w:tr w:rsidR="00AD555C" w:rsidRPr="00305ADE" w:rsidTr="00B37BC0">
        <w:tc>
          <w:tcPr>
            <w:tcW w:w="567" w:type="dxa"/>
            <w:vMerge w:val="restart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  <w:lang w:val="en-US"/>
              </w:rPr>
              <w:t xml:space="preserve">N </w:t>
            </w:r>
            <w:r w:rsidRPr="00305ADE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555C" w:rsidRPr="00305ADE" w:rsidRDefault="00AD555C" w:rsidP="00B37BC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555C" w:rsidRPr="00305ADE" w:rsidRDefault="00AD555C" w:rsidP="00B37BC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555C" w:rsidRPr="00305ADE" w:rsidRDefault="00AD555C" w:rsidP="00B37BC0">
            <w:pPr>
              <w:spacing w:line="276" w:lineRule="auto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Показатель (индикатор), соответствующий задаче и цели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223" w:type="dxa"/>
            <w:gridSpan w:val="6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AD555C" w:rsidRPr="00305ADE" w:rsidTr="00B37BC0">
        <w:tc>
          <w:tcPr>
            <w:tcW w:w="567" w:type="dxa"/>
            <w:vMerge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Базовый период (2019</w:t>
            </w:r>
          </w:p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год)</w:t>
            </w:r>
          </w:p>
        </w:tc>
        <w:tc>
          <w:tcPr>
            <w:tcW w:w="1419" w:type="dxa"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Первый год реализации</w:t>
            </w:r>
          </w:p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(2021)</w:t>
            </w:r>
          </w:p>
        </w:tc>
        <w:tc>
          <w:tcPr>
            <w:tcW w:w="1417" w:type="dxa"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 xml:space="preserve">Второй </w:t>
            </w:r>
          </w:p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год реализации</w:t>
            </w:r>
          </w:p>
          <w:p w:rsidR="00AD555C" w:rsidRPr="00305ADE" w:rsidRDefault="00AD555C" w:rsidP="005021E1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(202</w:t>
            </w:r>
            <w:r w:rsidR="005021E1">
              <w:rPr>
                <w:sz w:val="22"/>
                <w:szCs w:val="22"/>
              </w:rPr>
              <w:t>2</w:t>
            </w:r>
            <w:r w:rsidRPr="00305AD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Третий год реализации</w:t>
            </w:r>
          </w:p>
          <w:p w:rsidR="00AD555C" w:rsidRPr="00305ADE" w:rsidRDefault="00AD555C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(2023)</w:t>
            </w:r>
          </w:p>
        </w:tc>
        <w:tc>
          <w:tcPr>
            <w:tcW w:w="1417" w:type="dxa"/>
          </w:tcPr>
          <w:p w:rsidR="00AD555C" w:rsidRPr="00305ADE" w:rsidRDefault="00EB36A7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Четвертый</w:t>
            </w:r>
            <w:r w:rsidR="00AD555C" w:rsidRPr="00305ADE">
              <w:rPr>
                <w:sz w:val="22"/>
                <w:szCs w:val="22"/>
              </w:rPr>
              <w:t xml:space="preserve"> год реализации</w:t>
            </w:r>
          </w:p>
          <w:p w:rsidR="00EB36A7" w:rsidRPr="00305ADE" w:rsidRDefault="00EB36A7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(2024)</w:t>
            </w:r>
          </w:p>
        </w:tc>
        <w:tc>
          <w:tcPr>
            <w:tcW w:w="1418" w:type="dxa"/>
          </w:tcPr>
          <w:p w:rsidR="00AD555C" w:rsidRPr="00305ADE" w:rsidRDefault="00EB36A7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Пятый</w:t>
            </w:r>
            <w:r w:rsidR="00AD555C" w:rsidRPr="00305ADE">
              <w:rPr>
                <w:sz w:val="22"/>
                <w:szCs w:val="22"/>
              </w:rPr>
              <w:t xml:space="preserve"> год реализации</w:t>
            </w:r>
          </w:p>
          <w:p w:rsidR="00EB36A7" w:rsidRPr="00305ADE" w:rsidRDefault="00EB36A7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(2025)</w:t>
            </w:r>
          </w:p>
        </w:tc>
      </w:tr>
      <w:tr w:rsidR="00AD555C" w:rsidRPr="00305ADE" w:rsidTr="00B37BC0">
        <w:tc>
          <w:tcPr>
            <w:tcW w:w="567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D555C" w:rsidRPr="00305ADE" w:rsidRDefault="005021E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D555C" w:rsidRPr="00305ADE" w:rsidRDefault="00AD555C" w:rsidP="005021E1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</w:t>
            </w:r>
            <w:r w:rsidR="005021E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D555C" w:rsidRPr="00305ADE" w:rsidRDefault="005021E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555C" w:rsidRPr="00305ADE" w:rsidTr="00B37BC0">
        <w:tc>
          <w:tcPr>
            <w:tcW w:w="567" w:type="dxa"/>
            <w:vMerge w:val="restart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555C" w:rsidRPr="00305ADE" w:rsidRDefault="00AD555C" w:rsidP="000273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ADE">
              <w:rPr>
                <w:spacing w:val="-6"/>
                <w:sz w:val="22"/>
                <w:szCs w:val="22"/>
              </w:rPr>
              <w:t>Создание благоприятных условий для ведения предпринимательской</w:t>
            </w:r>
            <w:r w:rsidRPr="00305ADE">
              <w:rPr>
                <w:sz w:val="22"/>
                <w:szCs w:val="22"/>
              </w:rPr>
              <w:t xml:space="preserve"> деятельности, привлечения инвестиций                  в экономику Всеволожского муниципального района Ленинградской области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555C" w:rsidRPr="00305ADE" w:rsidRDefault="00AD555C" w:rsidP="00D623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Улучшение условий ведения предпринимательской деятельности                     во Всеволожском муниципальном районе Ленинградской области и привлечение инвестиций</w:t>
            </w:r>
          </w:p>
          <w:p w:rsidR="00AD555C" w:rsidRPr="00305ADE" w:rsidRDefault="00AD555C" w:rsidP="000273C9">
            <w:pPr>
              <w:spacing w:line="276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D555C" w:rsidRPr="00305ADE" w:rsidRDefault="00AD555C" w:rsidP="00180932">
            <w:pPr>
              <w:widowControl w:val="0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Объем инвестиций в основной капитал</w:t>
            </w:r>
          </w:p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 xml:space="preserve">Млрд. </w:t>
            </w:r>
          </w:p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52,0</w:t>
            </w:r>
          </w:p>
        </w:tc>
        <w:tc>
          <w:tcPr>
            <w:tcW w:w="1419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59,1</w:t>
            </w:r>
          </w:p>
        </w:tc>
        <w:tc>
          <w:tcPr>
            <w:tcW w:w="1417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63,4</w:t>
            </w:r>
          </w:p>
        </w:tc>
        <w:tc>
          <w:tcPr>
            <w:tcW w:w="1418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68,3</w:t>
            </w:r>
          </w:p>
        </w:tc>
        <w:tc>
          <w:tcPr>
            <w:tcW w:w="1417" w:type="dxa"/>
          </w:tcPr>
          <w:p w:rsidR="00AD555C" w:rsidRPr="00305ADE" w:rsidRDefault="00375EF7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70,2</w:t>
            </w:r>
          </w:p>
        </w:tc>
        <w:tc>
          <w:tcPr>
            <w:tcW w:w="1418" w:type="dxa"/>
          </w:tcPr>
          <w:p w:rsidR="00AD555C" w:rsidRPr="00305ADE" w:rsidRDefault="00375EF7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72,2</w:t>
            </w:r>
          </w:p>
        </w:tc>
      </w:tr>
      <w:tr w:rsidR="00AD555C" w:rsidRPr="00305ADE" w:rsidTr="00B37BC0">
        <w:tc>
          <w:tcPr>
            <w:tcW w:w="567" w:type="dxa"/>
            <w:vMerge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55C" w:rsidRPr="00305ADE" w:rsidRDefault="00AD555C" w:rsidP="003316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55C" w:rsidRPr="00305ADE" w:rsidRDefault="00AD555C" w:rsidP="00D623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D555C" w:rsidRPr="00305ADE" w:rsidRDefault="00AD555C" w:rsidP="00F30F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Количество проведенных заседаний Совета по улучшению инвестиционного климата Всеволожского муниципального района</w:t>
            </w:r>
          </w:p>
        </w:tc>
        <w:tc>
          <w:tcPr>
            <w:tcW w:w="1132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AD555C" w:rsidRPr="00305ADE" w:rsidRDefault="00491BFA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AD555C" w:rsidRPr="002769E5" w:rsidRDefault="002769E5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769E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555C" w:rsidRPr="002769E5" w:rsidRDefault="002769E5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769E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D555C" w:rsidRPr="002769E5" w:rsidRDefault="002769E5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769E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D555C" w:rsidRPr="002769E5" w:rsidRDefault="002769E5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769E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D555C" w:rsidRPr="002769E5" w:rsidRDefault="002769E5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769E5">
              <w:rPr>
                <w:sz w:val="22"/>
                <w:szCs w:val="22"/>
              </w:rPr>
              <w:t>4</w:t>
            </w:r>
          </w:p>
        </w:tc>
      </w:tr>
      <w:tr w:rsidR="00AD555C" w:rsidRPr="00305ADE" w:rsidTr="00B37BC0">
        <w:tc>
          <w:tcPr>
            <w:tcW w:w="567" w:type="dxa"/>
            <w:vMerge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55C" w:rsidRPr="00305ADE" w:rsidRDefault="00AD555C" w:rsidP="003316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55C" w:rsidRPr="00305ADE" w:rsidRDefault="00AD555C" w:rsidP="00D623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D555C" w:rsidRPr="00305ADE" w:rsidRDefault="00AD555C" w:rsidP="000273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Количество проведенных оценок, экспертиз регулирующего воздействия НПА                                и проектов НПА</w:t>
            </w:r>
          </w:p>
          <w:p w:rsidR="00AD555C" w:rsidRPr="00305ADE" w:rsidRDefault="00AD555C" w:rsidP="001809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D555C" w:rsidRPr="00305ADE" w:rsidRDefault="00642ED3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D555C" w:rsidRPr="00305ADE" w:rsidRDefault="00642ED3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3</w:t>
            </w:r>
          </w:p>
        </w:tc>
      </w:tr>
      <w:tr w:rsidR="00AD555C" w:rsidRPr="00305ADE" w:rsidTr="00B37BC0">
        <w:trPr>
          <w:trHeight w:val="1695"/>
        </w:trPr>
        <w:tc>
          <w:tcPr>
            <w:tcW w:w="567" w:type="dxa"/>
            <w:vMerge w:val="restart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lastRenderedPageBreak/>
              <w:t>2.</w:t>
            </w:r>
          </w:p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D555C" w:rsidRPr="00305ADE" w:rsidRDefault="00AD555C" w:rsidP="003316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Совершенствование системы стратегического управления социально-экономическим развитием Всеволожского муниципального района Ленинградской области</w:t>
            </w:r>
          </w:p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D555C" w:rsidRPr="00305ADE" w:rsidRDefault="00AD555C" w:rsidP="001C114B">
            <w:pPr>
              <w:pStyle w:val="a8"/>
              <w:contextualSpacing/>
              <w:rPr>
                <w:sz w:val="22"/>
                <w:szCs w:val="22"/>
              </w:rPr>
            </w:pPr>
            <w:r w:rsidRPr="00305ADE"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Совершенствование</w:t>
            </w:r>
            <w:r w:rsidRPr="00305ADE">
              <w:rPr>
                <w:rStyle w:val="a9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05ADE">
              <w:rPr>
                <w:rStyle w:val="a9"/>
                <w:rFonts w:ascii="Times New Roman" w:eastAsia="Calibri" w:hAnsi="Times New Roman" w:cs="Times New Roman"/>
                <w:i w:val="0"/>
                <w:sz w:val="22"/>
                <w:szCs w:val="22"/>
              </w:rPr>
              <w:t>системы стратегического планирования                                       и прогнозирования</w:t>
            </w:r>
          </w:p>
        </w:tc>
        <w:tc>
          <w:tcPr>
            <w:tcW w:w="1984" w:type="dxa"/>
            <w:shd w:val="clear" w:color="auto" w:fill="auto"/>
          </w:tcPr>
          <w:p w:rsidR="00AD555C" w:rsidRPr="00305ADE" w:rsidRDefault="00AD555C" w:rsidP="001C1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Полнота размещения документов стратегического планирования                                     в ГАС «Управление»</w:t>
            </w:r>
          </w:p>
        </w:tc>
        <w:tc>
          <w:tcPr>
            <w:tcW w:w="1132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D555C" w:rsidRPr="00305AD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D555C" w:rsidRPr="00305ADE" w:rsidRDefault="00B6419A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D555C" w:rsidRPr="00305ADE" w:rsidRDefault="00B6419A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100</w:t>
            </w:r>
          </w:p>
        </w:tc>
      </w:tr>
      <w:tr w:rsidR="00AD555C" w:rsidRPr="00305ADE" w:rsidTr="00B37BC0">
        <w:tc>
          <w:tcPr>
            <w:tcW w:w="567" w:type="dxa"/>
            <w:vMerge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555C" w:rsidRPr="00305ADE" w:rsidRDefault="00AD555C" w:rsidP="003316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D555C" w:rsidRPr="00305ADE" w:rsidRDefault="00AD555C" w:rsidP="00880080">
            <w:pPr>
              <w:pStyle w:val="a8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ADE">
              <w:rPr>
                <w:rFonts w:ascii="Times New Roman" w:hAnsi="Times New Roman" w:cs="Times New Roman"/>
                <w:sz w:val="22"/>
                <w:szCs w:val="22"/>
              </w:rPr>
              <w:t>Реализация схемы территориального планирования Всеволожского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AD555C" w:rsidRPr="00305ADE" w:rsidRDefault="00AD555C" w:rsidP="00B37BC0">
            <w:pPr>
              <w:spacing w:line="276" w:lineRule="auto"/>
              <w:ind w:right="-108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305ADE">
              <w:rPr>
                <w:rFonts w:eastAsiaTheme="minorHAnsi"/>
                <w:sz w:val="22"/>
                <w:szCs w:val="22"/>
                <w:lang w:eastAsia="en-US"/>
              </w:rPr>
              <w:t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о градостроительной деятельности</w:t>
            </w:r>
          </w:p>
        </w:tc>
        <w:tc>
          <w:tcPr>
            <w:tcW w:w="1132" w:type="dxa"/>
            <w:shd w:val="clear" w:color="auto" w:fill="auto"/>
          </w:tcPr>
          <w:p w:rsidR="00AD555C" w:rsidRPr="00305ADE" w:rsidRDefault="00AD555C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D555C" w:rsidRPr="002A274E" w:rsidRDefault="00D31600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A274E">
              <w:rPr>
                <w:sz w:val="22"/>
                <w:szCs w:val="22"/>
              </w:rPr>
              <w:t>94,7</w:t>
            </w:r>
          </w:p>
        </w:tc>
        <w:tc>
          <w:tcPr>
            <w:tcW w:w="1419" w:type="dxa"/>
            <w:shd w:val="clear" w:color="auto" w:fill="auto"/>
          </w:tcPr>
          <w:p w:rsidR="00AD555C" w:rsidRPr="002A274E" w:rsidRDefault="00D31600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A274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D555C" w:rsidRPr="002A274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A274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D555C" w:rsidRPr="002A274E" w:rsidRDefault="00AD555C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A274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D555C" w:rsidRPr="002A274E" w:rsidRDefault="00B6419A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A274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D555C" w:rsidRPr="002A274E" w:rsidRDefault="00B6419A" w:rsidP="007564F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2A274E">
              <w:rPr>
                <w:sz w:val="22"/>
                <w:szCs w:val="22"/>
              </w:rPr>
              <w:t>100</w:t>
            </w:r>
          </w:p>
        </w:tc>
      </w:tr>
      <w:tr w:rsidR="00DD6316" w:rsidRPr="00F47901" w:rsidTr="00B37BC0">
        <w:tc>
          <w:tcPr>
            <w:tcW w:w="567" w:type="dxa"/>
            <w:vMerge w:val="restart"/>
            <w:shd w:val="clear" w:color="auto" w:fill="auto"/>
          </w:tcPr>
          <w:p w:rsidR="00DD6316" w:rsidRPr="00F47901" w:rsidRDefault="00DD631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B42D0E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6316" w:rsidRPr="00B42D0E" w:rsidRDefault="00DD6316" w:rsidP="00BF1F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Повышение эффективности государственного управления и снижение административных барьеров при предоставлении муниципальных услуг                       во Всеволожском муниципальном Ленинградской области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6316" w:rsidRPr="00B42D0E" w:rsidRDefault="00DD6316" w:rsidP="00BF1FD0">
            <w:pPr>
              <w:spacing w:line="276" w:lineRule="auto"/>
              <w:textAlignment w:val="baseline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</w:t>
            </w:r>
            <w:r w:rsidRPr="00B42D0E">
              <w:rPr>
                <w:sz w:val="22"/>
                <w:szCs w:val="22"/>
              </w:rPr>
              <w:lastRenderedPageBreak/>
              <w:t>Ленинградской области</w:t>
            </w:r>
          </w:p>
          <w:p w:rsidR="00DD6316" w:rsidRPr="00B42D0E" w:rsidRDefault="00DD6316" w:rsidP="00BF1FD0">
            <w:pPr>
              <w:spacing w:line="276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D6316" w:rsidRPr="009B7766" w:rsidRDefault="00DD6316" w:rsidP="00D16082">
            <w:pPr>
              <w:spacing w:line="276" w:lineRule="auto"/>
              <w:textAlignment w:val="baseline"/>
              <w:rPr>
                <w:sz w:val="22"/>
                <w:szCs w:val="22"/>
              </w:rPr>
            </w:pPr>
            <w:r w:rsidRPr="009B7766">
              <w:rPr>
                <w:sz w:val="22"/>
                <w:szCs w:val="22"/>
              </w:rPr>
              <w:lastRenderedPageBreak/>
              <w:t xml:space="preserve">Количество предоставленных  муниципальных  услуг </w:t>
            </w:r>
            <w:r w:rsidRPr="009B7766">
              <w:rPr>
                <w:bCs/>
                <w:sz w:val="22"/>
                <w:szCs w:val="22"/>
              </w:rPr>
              <w:t>МКУ «Центр муниципальных услуг»</w:t>
            </w:r>
          </w:p>
        </w:tc>
        <w:tc>
          <w:tcPr>
            <w:tcW w:w="1132" w:type="dxa"/>
            <w:shd w:val="clear" w:color="auto" w:fill="auto"/>
          </w:tcPr>
          <w:p w:rsidR="00DD6316" w:rsidRPr="009B7766" w:rsidRDefault="00DD631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9B7766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DD6316" w:rsidRPr="009B7766" w:rsidRDefault="009B776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8297</w:t>
            </w:r>
          </w:p>
        </w:tc>
        <w:tc>
          <w:tcPr>
            <w:tcW w:w="1419" w:type="dxa"/>
            <w:shd w:val="clear" w:color="auto" w:fill="auto"/>
          </w:tcPr>
          <w:p w:rsidR="00DD6316" w:rsidRPr="009B7766" w:rsidRDefault="009B776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</w:t>
            </w:r>
          </w:p>
        </w:tc>
        <w:tc>
          <w:tcPr>
            <w:tcW w:w="1417" w:type="dxa"/>
            <w:shd w:val="clear" w:color="auto" w:fill="auto"/>
          </w:tcPr>
          <w:p w:rsidR="00DD6316" w:rsidRPr="009B7766" w:rsidRDefault="009B776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9B7766">
              <w:rPr>
                <w:sz w:val="22"/>
                <w:szCs w:val="22"/>
              </w:rPr>
              <w:t>9450</w:t>
            </w:r>
          </w:p>
        </w:tc>
        <w:tc>
          <w:tcPr>
            <w:tcW w:w="1418" w:type="dxa"/>
            <w:shd w:val="clear" w:color="auto" w:fill="auto"/>
          </w:tcPr>
          <w:p w:rsidR="00DD6316" w:rsidRPr="009B7766" w:rsidRDefault="009B776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9B7766">
              <w:rPr>
                <w:sz w:val="22"/>
                <w:szCs w:val="22"/>
              </w:rPr>
              <w:t>9450</w:t>
            </w:r>
          </w:p>
        </w:tc>
        <w:tc>
          <w:tcPr>
            <w:tcW w:w="1417" w:type="dxa"/>
          </w:tcPr>
          <w:p w:rsidR="00DD6316" w:rsidRPr="009B7766" w:rsidRDefault="009B776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9B7766">
              <w:rPr>
                <w:sz w:val="22"/>
                <w:szCs w:val="22"/>
              </w:rPr>
              <w:t>9450</w:t>
            </w:r>
          </w:p>
        </w:tc>
        <w:tc>
          <w:tcPr>
            <w:tcW w:w="1418" w:type="dxa"/>
          </w:tcPr>
          <w:p w:rsidR="00DD6316" w:rsidRPr="009B7766" w:rsidRDefault="009B7766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9B7766">
              <w:rPr>
                <w:sz w:val="22"/>
                <w:szCs w:val="22"/>
              </w:rPr>
              <w:t>9450</w:t>
            </w:r>
          </w:p>
        </w:tc>
      </w:tr>
      <w:tr w:rsidR="00E00095" w:rsidRPr="00F47901" w:rsidTr="00B37BC0">
        <w:tc>
          <w:tcPr>
            <w:tcW w:w="567" w:type="dxa"/>
            <w:vMerge/>
            <w:shd w:val="clear" w:color="auto" w:fill="auto"/>
          </w:tcPr>
          <w:p w:rsidR="00E00095" w:rsidRPr="00F47901" w:rsidRDefault="00E00095" w:rsidP="00E00095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0095" w:rsidRPr="00F47901" w:rsidRDefault="00E00095" w:rsidP="00E0009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0095" w:rsidRPr="00F47901" w:rsidRDefault="00E00095" w:rsidP="00E000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E00095" w:rsidRPr="00C7754B" w:rsidRDefault="00E00095" w:rsidP="00E00095">
            <w:pPr>
              <w:widowControl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Количество предоставленных муниципальных услуг, включенных                         в инвестиционный стандарт</w:t>
            </w:r>
            <w:r>
              <w:rPr>
                <w:sz w:val="22"/>
                <w:szCs w:val="22"/>
              </w:rPr>
              <w:t>:</w:t>
            </w:r>
          </w:p>
          <w:p w:rsidR="00E00095" w:rsidRPr="00B42D0E" w:rsidRDefault="00E00095" w:rsidP="00E0009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E00095" w:rsidRDefault="00E00095" w:rsidP="00E0009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00095" w:rsidRDefault="00E00095" w:rsidP="00E0009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00095" w:rsidRPr="00F47901" w:rsidRDefault="00E00095" w:rsidP="00E00095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B42D0E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E00095" w:rsidRPr="00E00095" w:rsidRDefault="00E00095" w:rsidP="00E0009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00095">
              <w:rPr>
                <w:sz w:val="22"/>
                <w:szCs w:val="22"/>
              </w:rPr>
              <w:t>1401</w:t>
            </w:r>
          </w:p>
        </w:tc>
        <w:tc>
          <w:tcPr>
            <w:tcW w:w="1419" w:type="dxa"/>
            <w:shd w:val="clear" w:color="auto" w:fill="auto"/>
          </w:tcPr>
          <w:p w:rsidR="00E00095" w:rsidRPr="00E00095" w:rsidRDefault="00E00095" w:rsidP="00E0009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1417" w:type="dxa"/>
            <w:shd w:val="clear" w:color="auto" w:fill="auto"/>
          </w:tcPr>
          <w:p w:rsidR="00E00095" w:rsidRPr="00E00095" w:rsidRDefault="00E00095" w:rsidP="00E0009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</w:t>
            </w:r>
          </w:p>
        </w:tc>
        <w:tc>
          <w:tcPr>
            <w:tcW w:w="1418" w:type="dxa"/>
            <w:shd w:val="clear" w:color="auto" w:fill="auto"/>
          </w:tcPr>
          <w:p w:rsidR="00E00095" w:rsidRDefault="00E00095" w:rsidP="00E00095">
            <w:pPr>
              <w:jc w:val="center"/>
            </w:pPr>
            <w:r w:rsidRPr="0070326C">
              <w:rPr>
                <w:sz w:val="22"/>
                <w:szCs w:val="22"/>
              </w:rPr>
              <w:t>1517</w:t>
            </w:r>
          </w:p>
        </w:tc>
        <w:tc>
          <w:tcPr>
            <w:tcW w:w="1417" w:type="dxa"/>
          </w:tcPr>
          <w:p w:rsidR="00E00095" w:rsidRDefault="00E00095" w:rsidP="00E00095">
            <w:pPr>
              <w:jc w:val="center"/>
            </w:pPr>
            <w:r w:rsidRPr="0070326C">
              <w:rPr>
                <w:sz w:val="22"/>
                <w:szCs w:val="22"/>
              </w:rPr>
              <w:t>1517</w:t>
            </w:r>
          </w:p>
        </w:tc>
        <w:tc>
          <w:tcPr>
            <w:tcW w:w="1418" w:type="dxa"/>
          </w:tcPr>
          <w:p w:rsidR="00E00095" w:rsidRDefault="00E00095" w:rsidP="00E00095">
            <w:pPr>
              <w:jc w:val="center"/>
            </w:pPr>
            <w:r w:rsidRPr="0070326C">
              <w:rPr>
                <w:sz w:val="22"/>
                <w:szCs w:val="22"/>
              </w:rPr>
              <w:t>1517</w:t>
            </w:r>
          </w:p>
        </w:tc>
      </w:tr>
      <w:tr w:rsidR="005B2AC0" w:rsidRPr="00F47901" w:rsidTr="00D905CD">
        <w:tc>
          <w:tcPr>
            <w:tcW w:w="567" w:type="dxa"/>
            <w:vMerge/>
            <w:shd w:val="clear" w:color="auto" w:fill="auto"/>
          </w:tcPr>
          <w:p w:rsidR="005B2AC0" w:rsidRPr="00F47901" w:rsidRDefault="005B2AC0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AC0" w:rsidRPr="00F47901" w:rsidRDefault="005B2AC0" w:rsidP="00A226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AC0" w:rsidRPr="00F47901" w:rsidRDefault="005B2AC0" w:rsidP="00A226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B2AC0" w:rsidRPr="00B42D0E" w:rsidRDefault="005B2AC0" w:rsidP="00A22660">
            <w:pPr>
              <w:widowControl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Срок предоставления муниципальных услуг, включенных в инвестиционный стандарт</w:t>
            </w:r>
          </w:p>
        </w:tc>
        <w:tc>
          <w:tcPr>
            <w:tcW w:w="1132" w:type="dxa"/>
            <w:shd w:val="clear" w:color="auto" w:fill="auto"/>
          </w:tcPr>
          <w:p w:rsidR="005B2AC0" w:rsidRPr="00F47901" w:rsidRDefault="005B2AC0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B2AC0" w:rsidRPr="007F4A62" w:rsidRDefault="005B2AC0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B2AC0" w:rsidRPr="0090335C" w:rsidRDefault="005B2AC0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B2AC0" w:rsidRPr="0090335C" w:rsidRDefault="005B2AC0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2AC0" w:rsidRDefault="005B2AC0" w:rsidP="00A22660"/>
        </w:tc>
        <w:tc>
          <w:tcPr>
            <w:tcW w:w="1417" w:type="dxa"/>
          </w:tcPr>
          <w:p w:rsidR="005B2AC0" w:rsidRDefault="005B2AC0" w:rsidP="00A22660"/>
        </w:tc>
        <w:tc>
          <w:tcPr>
            <w:tcW w:w="1418" w:type="dxa"/>
          </w:tcPr>
          <w:p w:rsidR="005B2AC0" w:rsidRDefault="005B2AC0" w:rsidP="00A22660"/>
        </w:tc>
      </w:tr>
      <w:tr w:rsidR="005B2AC0" w:rsidRPr="00F47901" w:rsidTr="00B37BC0">
        <w:tc>
          <w:tcPr>
            <w:tcW w:w="567" w:type="dxa"/>
            <w:vMerge/>
            <w:shd w:val="clear" w:color="auto" w:fill="auto"/>
          </w:tcPr>
          <w:p w:rsidR="005B2AC0" w:rsidRPr="00F47901" w:rsidRDefault="005B2AC0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AC0" w:rsidRPr="00F47901" w:rsidRDefault="005B2AC0" w:rsidP="00A226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AC0" w:rsidRPr="00F47901" w:rsidRDefault="005B2AC0" w:rsidP="00A226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B2AC0" w:rsidRPr="00B42D0E" w:rsidRDefault="005B2AC0" w:rsidP="00A22660">
            <w:pPr>
              <w:widowControl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1.</w:t>
            </w:r>
            <w:r w:rsidRPr="00B42D0E">
              <w:t xml:space="preserve"> </w:t>
            </w:r>
            <w:r w:rsidRPr="00B42D0E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1132" w:type="dxa"/>
            <w:shd w:val="clear" w:color="auto" w:fill="auto"/>
          </w:tcPr>
          <w:p w:rsidR="00A7379D" w:rsidRPr="00F40593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Календарных д</w:t>
            </w:r>
            <w:r w:rsidRPr="00F40593">
              <w:rPr>
                <w:sz w:val="22"/>
                <w:szCs w:val="22"/>
              </w:rPr>
              <w:t>ней</w:t>
            </w:r>
          </w:p>
          <w:p w:rsidR="005B2AC0" w:rsidRPr="00F47901" w:rsidRDefault="005B2AC0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B2AC0" w:rsidRPr="003F4910" w:rsidRDefault="00A7379D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shd w:val="clear" w:color="auto" w:fill="auto"/>
          </w:tcPr>
          <w:p w:rsidR="005B2AC0" w:rsidRPr="00F47901" w:rsidRDefault="00A7379D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A7379D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B2AC0" w:rsidRPr="00A22660" w:rsidRDefault="00A7379D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B2AC0" w:rsidRPr="00A22660" w:rsidRDefault="00A7379D" w:rsidP="00A22660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B2AC0" w:rsidRPr="00A22660" w:rsidRDefault="00A7379D" w:rsidP="00A22660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5B2AC0" w:rsidRPr="00A22660" w:rsidRDefault="00A7379D" w:rsidP="00A22660">
            <w:pPr>
              <w:jc w:val="center"/>
            </w:pPr>
            <w:r>
              <w:t>14</w:t>
            </w:r>
          </w:p>
        </w:tc>
      </w:tr>
      <w:tr w:rsidR="005B2AC0" w:rsidRPr="00F47901" w:rsidTr="00B37BC0">
        <w:tc>
          <w:tcPr>
            <w:tcW w:w="567" w:type="dxa"/>
            <w:vMerge/>
            <w:shd w:val="clear" w:color="auto" w:fill="auto"/>
          </w:tcPr>
          <w:p w:rsidR="005B2AC0" w:rsidRPr="00F47901" w:rsidRDefault="005B2AC0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AC0" w:rsidRPr="00F47901" w:rsidRDefault="005B2AC0" w:rsidP="00A226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AC0" w:rsidRPr="00F47901" w:rsidRDefault="005B2AC0" w:rsidP="00A226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B2AC0" w:rsidRPr="005B2AC0" w:rsidRDefault="005B2AC0" w:rsidP="00A22660">
            <w:pPr>
              <w:widowControl w:val="0"/>
              <w:rPr>
                <w:sz w:val="22"/>
                <w:szCs w:val="22"/>
              </w:rPr>
            </w:pPr>
            <w:r w:rsidRPr="00F40593"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455ECE">
              <w:rPr>
                <w:sz w:val="22"/>
                <w:szCs w:val="22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1132" w:type="dxa"/>
            <w:shd w:val="clear" w:color="auto" w:fill="auto"/>
          </w:tcPr>
          <w:p w:rsidR="00A7379D" w:rsidRPr="00F40593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Рабочих д</w:t>
            </w:r>
            <w:r w:rsidRPr="00F40593">
              <w:rPr>
                <w:sz w:val="22"/>
                <w:szCs w:val="22"/>
              </w:rPr>
              <w:t>ней</w:t>
            </w:r>
          </w:p>
          <w:p w:rsidR="005B2AC0" w:rsidRPr="00F47901" w:rsidRDefault="005B2AC0" w:rsidP="00BF1FD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B2AC0" w:rsidRPr="003F4910" w:rsidRDefault="00A7379D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5B2AC0" w:rsidRPr="00F47901" w:rsidRDefault="00A7379D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A7379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B2AC0" w:rsidRPr="00A22660" w:rsidRDefault="00A7379D" w:rsidP="00A22660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B2AC0" w:rsidRPr="00A22660" w:rsidRDefault="00A7379D" w:rsidP="00A22660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B2AC0" w:rsidRPr="00A22660" w:rsidRDefault="00A7379D" w:rsidP="00A2266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B2AC0" w:rsidRPr="00A22660" w:rsidRDefault="00A7379D" w:rsidP="00A22660">
            <w:pPr>
              <w:jc w:val="center"/>
            </w:pPr>
            <w:r>
              <w:t>13</w:t>
            </w:r>
          </w:p>
        </w:tc>
      </w:tr>
      <w:tr w:rsidR="00A7379D" w:rsidRPr="00F47901" w:rsidTr="00B37BC0">
        <w:tc>
          <w:tcPr>
            <w:tcW w:w="567" w:type="dxa"/>
            <w:vMerge/>
            <w:shd w:val="clear" w:color="auto" w:fill="auto"/>
          </w:tcPr>
          <w:p w:rsidR="00A7379D" w:rsidRPr="00F47901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79D" w:rsidRPr="00F47901" w:rsidRDefault="00A7379D" w:rsidP="00A737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79D" w:rsidRPr="00F47901" w:rsidRDefault="00A7379D" w:rsidP="00A737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7379D" w:rsidRPr="00B42D0E" w:rsidRDefault="00A7379D" w:rsidP="00A7379D">
            <w:pPr>
              <w:widowControl w:val="0"/>
              <w:rPr>
                <w:sz w:val="22"/>
                <w:szCs w:val="22"/>
                <w:lang w:val="en-US"/>
              </w:rPr>
            </w:pPr>
            <w:r w:rsidRPr="00F40593"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455ECE">
              <w:rPr>
                <w:sz w:val="22"/>
                <w:szCs w:val="22"/>
              </w:rPr>
              <w:t>Присвоение и аннулирование адресов</w:t>
            </w:r>
          </w:p>
        </w:tc>
        <w:tc>
          <w:tcPr>
            <w:tcW w:w="1132" w:type="dxa"/>
            <w:shd w:val="clear" w:color="auto" w:fill="auto"/>
          </w:tcPr>
          <w:p w:rsidR="00A7379D" w:rsidRDefault="00A7379D" w:rsidP="00A7379D">
            <w:r w:rsidRPr="006A62A6">
              <w:rPr>
                <w:sz w:val="22"/>
                <w:szCs w:val="22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:rsidR="00A7379D" w:rsidRPr="003F4910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A7379D" w:rsidRPr="00F47901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A7379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7379D" w:rsidRPr="00A22660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379D" w:rsidRPr="00A22660" w:rsidRDefault="00A7379D" w:rsidP="00A7379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7379D" w:rsidRPr="00A22660" w:rsidRDefault="00A7379D" w:rsidP="00A7379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7379D" w:rsidRPr="00A22660" w:rsidRDefault="00A7379D" w:rsidP="00A7379D">
            <w:pPr>
              <w:jc w:val="center"/>
            </w:pPr>
            <w:r>
              <w:t>6</w:t>
            </w:r>
          </w:p>
        </w:tc>
      </w:tr>
      <w:tr w:rsidR="00A7379D" w:rsidRPr="00F47901" w:rsidTr="00B37BC0">
        <w:tc>
          <w:tcPr>
            <w:tcW w:w="567" w:type="dxa"/>
            <w:vMerge/>
            <w:shd w:val="clear" w:color="auto" w:fill="auto"/>
          </w:tcPr>
          <w:p w:rsidR="00A7379D" w:rsidRPr="00F47901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79D" w:rsidRPr="00F47901" w:rsidRDefault="00A7379D" w:rsidP="00A737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79D" w:rsidRPr="00F47901" w:rsidRDefault="00A7379D" w:rsidP="00A737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7379D" w:rsidRPr="00B42D0E" w:rsidRDefault="00A7379D" w:rsidP="00A7379D">
            <w:pPr>
              <w:widowControl w:val="0"/>
              <w:rPr>
                <w:sz w:val="22"/>
                <w:szCs w:val="22"/>
              </w:rPr>
            </w:pPr>
            <w:r w:rsidRPr="00F40593"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455ECE">
              <w:rPr>
                <w:sz w:val="22"/>
                <w:szCs w:val="22"/>
              </w:rPr>
              <w:t>Выдача разрешений на строительство</w:t>
            </w:r>
          </w:p>
        </w:tc>
        <w:tc>
          <w:tcPr>
            <w:tcW w:w="1132" w:type="dxa"/>
            <w:shd w:val="clear" w:color="auto" w:fill="auto"/>
          </w:tcPr>
          <w:p w:rsidR="00A7379D" w:rsidRDefault="00A7379D" w:rsidP="00A7379D">
            <w:r w:rsidRPr="006A62A6">
              <w:rPr>
                <w:sz w:val="22"/>
                <w:szCs w:val="22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:rsidR="00A7379D" w:rsidRPr="003F4910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A7379D" w:rsidRPr="00F47901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A7379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379D" w:rsidRPr="00A22660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379D" w:rsidRDefault="00A7379D" w:rsidP="00A7379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7379D" w:rsidRDefault="00A7379D" w:rsidP="00A7379D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7379D" w:rsidRDefault="00A7379D" w:rsidP="00A7379D">
            <w:pPr>
              <w:jc w:val="center"/>
            </w:pPr>
            <w:r>
              <w:t>5</w:t>
            </w:r>
          </w:p>
        </w:tc>
      </w:tr>
      <w:tr w:rsidR="00A7379D" w:rsidRPr="00F47901" w:rsidTr="00B37BC0">
        <w:trPr>
          <w:trHeight w:val="1893"/>
        </w:trPr>
        <w:tc>
          <w:tcPr>
            <w:tcW w:w="567" w:type="dxa"/>
            <w:vMerge/>
            <w:shd w:val="clear" w:color="auto" w:fill="auto"/>
          </w:tcPr>
          <w:p w:rsidR="00A7379D" w:rsidRPr="00F47901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79D" w:rsidRPr="00F47901" w:rsidRDefault="00A7379D" w:rsidP="00A737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79D" w:rsidRPr="00F47901" w:rsidRDefault="00A7379D" w:rsidP="00A737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7379D" w:rsidRPr="00B42D0E" w:rsidRDefault="00A7379D" w:rsidP="00A73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0593">
              <w:rPr>
                <w:sz w:val="22"/>
                <w:szCs w:val="22"/>
              </w:rPr>
              <w:t>5.</w:t>
            </w:r>
            <w:r>
              <w:t xml:space="preserve"> </w:t>
            </w:r>
            <w:r w:rsidRPr="00455ECE">
              <w:rPr>
                <w:sz w:val="22"/>
                <w:szCs w:val="22"/>
              </w:rPr>
              <w:t>Выдача разрешений на ввод объектов в эксплуатацию</w:t>
            </w:r>
          </w:p>
        </w:tc>
        <w:tc>
          <w:tcPr>
            <w:tcW w:w="1132" w:type="dxa"/>
            <w:shd w:val="clear" w:color="auto" w:fill="auto"/>
          </w:tcPr>
          <w:p w:rsidR="00A7379D" w:rsidRDefault="00A7379D" w:rsidP="00A7379D">
            <w:r w:rsidRPr="006A62A6">
              <w:rPr>
                <w:sz w:val="22"/>
                <w:szCs w:val="22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:rsidR="00A7379D" w:rsidRPr="00F47901" w:rsidRDefault="00A7379D" w:rsidP="00A7379D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A7379D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A7379D" w:rsidRDefault="00A7379D" w:rsidP="00A7379D">
            <w:pPr>
              <w:jc w:val="center"/>
            </w:pPr>
            <w:r w:rsidRPr="004B25E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7379D" w:rsidRDefault="00A7379D" w:rsidP="00A7379D">
            <w:pPr>
              <w:jc w:val="center"/>
            </w:pPr>
            <w:r w:rsidRPr="004B25E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7379D" w:rsidRDefault="00A7379D" w:rsidP="00A7379D">
            <w:pPr>
              <w:jc w:val="center"/>
            </w:pPr>
            <w:r w:rsidRPr="004B25E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A7379D" w:rsidRDefault="00A7379D" w:rsidP="00A7379D">
            <w:pPr>
              <w:jc w:val="center"/>
            </w:pPr>
            <w:r w:rsidRPr="004B25E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7379D" w:rsidRDefault="00A7379D" w:rsidP="00A7379D">
            <w:pPr>
              <w:jc w:val="center"/>
            </w:pPr>
            <w:r w:rsidRPr="004B25E2">
              <w:rPr>
                <w:sz w:val="22"/>
                <w:szCs w:val="22"/>
              </w:rPr>
              <w:t>7</w:t>
            </w:r>
          </w:p>
        </w:tc>
      </w:tr>
    </w:tbl>
    <w:p w:rsidR="00305ADE" w:rsidRDefault="00305ADE" w:rsidP="00666DAE">
      <w:pPr>
        <w:rPr>
          <w:bCs/>
          <w:sz w:val="28"/>
          <w:szCs w:val="28"/>
        </w:rPr>
      </w:pPr>
    </w:p>
    <w:p w:rsidR="00A944B7" w:rsidRDefault="00A944B7" w:rsidP="00705183">
      <w:pPr>
        <w:jc w:val="right"/>
        <w:rPr>
          <w:bCs/>
          <w:sz w:val="26"/>
          <w:szCs w:val="26"/>
        </w:rPr>
      </w:pPr>
      <w:r w:rsidRPr="00666DAE">
        <w:rPr>
          <w:bCs/>
          <w:sz w:val="26"/>
          <w:szCs w:val="26"/>
        </w:rPr>
        <w:lastRenderedPageBreak/>
        <w:t>Приложение 2 к</w:t>
      </w:r>
      <w:r w:rsidR="006B7AC7" w:rsidRPr="00666DAE">
        <w:rPr>
          <w:bCs/>
          <w:sz w:val="26"/>
          <w:szCs w:val="26"/>
        </w:rPr>
        <w:t xml:space="preserve"> </w:t>
      </w:r>
      <w:r w:rsidRPr="00666DAE">
        <w:rPr>
          <w:bCs/>
          <w:sz w:val="26"/>
          <w:szCs w:val="26"/>
        </w:rPr>
        <w:t>программе</w:t>
      </w:r>
    </w:p>
    <w:p w:rsidR="00F80B5D" w:rsidRDefault="00F80B5D" w:rsidP="00705183">
      <w:pPr>
        <w:jc w:val="right"/>
        <w:rPr>
          <w:bCs/>
          <w:sz w:val="26"/>
          <w:szCs w:val="26"/>
        </w:rPr>
      </w:pPr>
    </w:p>
    <w:p w:rsidR="00F80B5D" w:rsidRDefault="00F80B5D" w:rsidP="00F80B5D">
      <w:pPr>
        <w:jc w:val="center"/>
        <w:rPr>
          <w:bCs/>
          <w:sz w:val="28"/>
          <w:szCs w:val="28"/>
        </w:rPr>
      </w:pPr>
      <w:r w:rsidRPr="001442EB">
        <w:rPr>
          <w:bCs/>
          <w:sz w:val="28"/>
          <w:szCs w:val="28"/>
        </w:rPr>
        <w:t>План мероприятий</w:t>
      </w:r>
      <w:r>
        <w:rPr>
          <w:bCs/>
          <w:sz w:val="28"/>
          <w:szCs w:val="28"/>
        </w:rPr>
        <w:t xml:space="preserve"> по</w:t>
      </w:r>
      <w:r w:rsidRPr="001442EB">
        <w:rPr>
          <w:bCs/>
          <w:sz w:val="28"/>
          <w:szCs w:val="28"/>
        </w:rPr>
        <w:t xml:space="preserve"> реализации </w:t>
      </w:r>
      <w:r>
        <w:rPr>
          <w:bCs/>
          <w:sz w:val="28"/>
          <w:szCs w:val="28"/>
        </w:rPr>
        <w:t xml:space="preserve">программы </w:t>
      </w:r>
    </w:p>
    <w:p w:rsidR="00F80B5D" w:rsidRPr="001442EB" w:rsidRDefault="00F80B5D" w:rsidP="00F80B5D">
      <w:pPr>
        <w:jc w:val="center"/>
        <w:rPr>
          <w:bCs/>
          <w:sz w:val="28"/>
          <w:szCs w:val="28"/>
        </w:rPr>
      </w:pPr>
      <w:r w:rsidRPr="00425EAD">
        <w:rPr>
          <w:sz w:val="28"/>
          <w:szCs w:val="28"/>
        </w:rPr>
        <w:t>«Обеспечение благоприятного инвестиционного климата во Всеволожском муниципальном районе Ленинградской области на 2021-202</w:t>
      </w:r>
      <w:r>
        <w:rPr>
          <w:sz w:val="28"/>
          <w:szCs w:val="28"/>
        </w:rPr>
        <w:t>5</w:t>
      </w:r>
      <w:r w:rsidRPr="00425EAD">
        <w:rPr>
          <w:sz w:val="28"/>
          <w:szCs w:val="28"/>
        </w:rPr>
        <w:t xml:space="preserve"> годы»</w:t>
      </w:r>
      <w:r w:rsidRPr="001442EB">
        <w:rPr>
          <w:bCs/>
          <w:sz w:val="28"/>
          <w:szCs w:val="28"/>
        </w:rPr>
        <w:t xml:space="preserve"> </w:t>
      </w:r>
    </w:p>
    <w:p w:rsidR="00F80B5D" w:rsidRPr="001442EB" w:rsidRDefault="00F80B5D" w:rsidP="00F80B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418"/>
        <w:gridCol w:w="1417"/>
        <w:gridCol w:w="1702"/>
        <w:gridCol w:w="1560"/>
        <w:gridCol w:w="2125"/>
      </w:tblGrid>
      <w:tr w:rsidR="00F80B5D" w:rsidRPr="001442EB" w:rsidTr="00BC0B54">
        <w:trPr>
          <w:trHeight w:val="187"/>
          <w:tblHeader/>
        </w:trPr>
        <w:tc>
          <w:tcPr>
            <w:tcW w:w="5670" w:type="dxa"/>
            <w:vMerge w:val="restart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(</w:t>
            </w: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7" w:type="dxa"/>
            <w:gridSpan w:val="4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vMerge w:val="restart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F80B5D" w:rsidRPr="001442EB" w:rsidTr="00BC0B54">
        <w:trPr>
          <w:trHeight w:val="1116"/>
          <w:tblHeader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  <w:vMerge/>
          </w:tcPr>
          <w:p w:rsidR="00F80B5D" w:rsidRPr="001442EB" w:rsidRDefault="00F80B5D" w:rsidP="00BC0B54"/>
        </w:tc>
        <w:tc>
          <w:tcPr>
            <w:tcW w:w="1418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5D" w:rsidRPr="001442EB" w:rsidTr="00BC0B54">
        <w:trPr>
          <w:tblHeader/>
        </w:trPr>
        <w:tc>
          <w:tcPr>
            <w:tcW w:w="5670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0B5D" w:rsidRPr="001442EB" w:rsidTr="00BC0B54">
        <w:trPr>
          <w:trHeight w:val="305"/>
        </w:trPr>
        <w:tc>
          <w:tcPr>
            <w:tcW w:w="5670" w:type="dxa"/>
            <w:vMerge w:val="restart"/>
          </w:tcPr>
          <w:p w:rsidR="00F80B5D" w:rsidRPr="001442EB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B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благоприятного инвестиционного климата во Всеволожском муниципальном районе Ленинградской области на 2021-202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2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F80B5D" w:rsidRPr="001442EB" w:rsidRDefault="00F80B5D" w:rsidP="00BC0B54">
            <w:pPr>
              <w:jc w:val="center"/>
            </w:pPr>
            <w:r>
              <w:t>57</w:t>
            </w:r>
            <w:r w:rsidRPr="002950F0">
              <w:t>635,0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jc w:val="center"/>
            </w:pPr>
            <w:r>
              <w:t>57</w:t>
            </w:r>
            <w:r w:rsidRPr="002950F0">
              <w:t>635,0</w:t>
            </w:r>
          </w:p>
        </w:tc>
        <w:tc>
          <w:tcPr>
            <w:tcW w:w="2125" w:type="dxa"/>
            <w:vMerge w:val="restart"/>
          </w:tcPr>
          <w:p w:rsidR="00F80B5D" w:rsidRPr="001442EB" w:rsidRDefault="00F80B5D" w:rsidP="00BC0B54">
            <w:pPr>
              <w:jc w:val="center"/>
            </w:pPr>
            <w:r>
              <w:t>Отдел по экономическому развитию и инвестициям</w:t>
            </w:r>
          </w:p>
        </w:tc>
      </w:tr>
      <w:tr w:rsidR="00F80B5D" w:rsidRPr="001442EB" w:rsidTr="00BC0B54">
        <w:trPr>
          <w:trHeight w:val="213"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F80B5D" w:rsidRPr="001442EB" w:rsidRDefault="00F80B5D" w:rsidP="00BC0B54">
            <w:pPr>
              <w:jc w:val="center"/>
            </w:pPr>
            <w:r>
              <w:t>59152,0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jc w:val="center"/>
            </w:pPr>
            <w:r>
              <w:t>59152,0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rPr>
          <w:trHeight w:val="291"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F80B5D" w:rsidRPr="001442EB" w:rsidRDefault="00F80B5D" w:rsidP="00BC0B54">
            <w:pPr>
              <w:jc w:val="center"/>
            </w:pPr>
            <w:r>
              <w:t>59518,0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jc w:val="center"/>
            </w:pPr>
            <w:r>
              <w:t>59518,0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rPr>
          <w:trHeight w:val="212"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F80B5D" w:rsidRDefault="00F80B5D" w:rsidP="00BC0B54">
            <w:pPr>
              <w:jc w:val="center"/>
            </w:pPr>
            <w:r>
              <w:t>61898,7</w:t>
            </w:r>
          </w:p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Default="00F80B5D" w:rsidP="00BC0B54">
            <w:pPr>
              <w:jc w:val="center"/>
            </w:pPr>
            <w:r>
              <w:t>61898,7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rPr>
          <w:trHeight w:val="135"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F80B5D" w:rsidRDefault="00F80B5D" w:rsidP="00BC0B54">
            <w:pPr>
              <w:jc w:val="center"/>
            </w:pPr>
            <w:r>
              <w:t>64374,7</w:t>
            </w:r>
          </w:p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Default="00F80B5D" w:rsidP="00BC0B54">
            <w:pPr>
              <w:jc w:val="center"/>
            </w:pPr>
            <w:r>
              <w:t>64374,7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rPr>
          <w:trHeight w:val="227"/>
        </w:trPr>
        <w:tc>
          <w:tcPr>
            <w:tcW w:w="5670" w:type="dxa"/>
            <w:tcBorders>
              <w:bottom w:val="single" w:sz="4" w:space="0" w:color="auto"/>
            </w:tcBorders>
          </w:tcPr>
          <w:p w:rsidR="00F80B5D" w:rsidRPr="00A74E17" w:rsidRDefault="00F80B5D" w:rsidP="00BC0B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B5D" w:rsidRPr="00A74E17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302578,4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B5D" w:rsidRPr="00121987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0B5D" w:rsidRPr="00121987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302578,4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5D" w:rsidRPr="001442EB" w:rsidTr="00BC0B54">
        <w:trPr>
          <w:trHeight w:val="163"/>
        </w:trPr>
        <w:tc>
          <w:tcPr>
            <w:tcW w:w="5670" w:type="dxa"/>
            <w:vMerge w:val="restart"/>
          </w:tcPr>
          <w:p w:rsidR="00F80B5D" w:rsidRPr="00DB7A96" w:rsidRDefault="00F80B5D" w:rsidP="00BC0B5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9B72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 в предоставлении) </w:t>
            </w:r>
            <w:r w:rsidRPr="009B72D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96">
              <w:rPr>
                <w:rFonts w:ascii="Times New Roman" w:hAnsi="Times New Roman" w:cs="Times New Roman"/>
                <w:sz w:val="24"/>
                <w:szCs w:val="24"/>
              </w:rPr>
              <w:t>МКУ «Центр муниципальных услуг»</w:t>
            </w:r>
            <w:r w:rsidRPr="00DB7A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80B5D" w:rsidRPr="0026535C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F80B5D" w:rsidRPr="001442EB" w:rsidRDefault="00F80B5D" w:rsidP="00BC0B54">
            <w:pPr>
              <w:jc w:val="center"/>
            </w:pPr>
            <w:r>
              <w:t>57</w:t>
            </w:r>
            <w:r w:rsidRPr="002950F0">
              <w:t>635,0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jc w:val="center"/>
            </w:pPr>
            <w:r>
              <w:t>57</w:t>
            </w:r>
            <w:r w:rsidRPr="002950F0">
              <w:t>635,0</w:t>
            </w:r>
          </w:p>
        </w:tc>
        <w:tc>
          <w:tcPr>
            <w:tcW w:w="2125" w:type="dxa"/>
            <w:vMerge w:val="restart"/>
          </w:tcPr>
          <w:p w:rsidR="00F80B5D" w:rsidRPr="001442EB" w:rsidRDefault="00F80B5D" w:rsidP="00BC0B54">
            <w:pPr>
              <w:jc w:val="center"/>
            </w:pPr>
            <w:r>
              <w:t>МКУ «Центр муниципальных услуг»</w:t>
            </w:r>
          </w:p>
        </w:tc>
      </w:tr>
      <w:tr w:rsidR="00F80B5D" w:rsidRPr="001442EB" w:rsidTr="00BC0B54">
        <w:trPr>
          <w:trHeight w:val="85"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F80B5D" w:rsidRPr="001442EB" w:rsidRDefault="00F80B5D" w:rsidP="00BC0B54">
            <w:pPr>
              <w:jc w:val="center"/>
            </w:pPr>
            <w:r>
              <w:t>59152,0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jc w:val="center"/>
            </w:pPr>
            <w:r>
              <w:t>59152,0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rPr>
          <w:trHeight w:val="177"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F80B5D" w:rsidRPr="001442EB" w:rsidRDefault="00F80B5D" w:rsidP="00BC0B54">
            <w:pPr>
              <w:jc w:val="center"/>
            </w:pPr>
            <w:r>
              <w:t>59518,0</w:t>
            </w:r>
          </w:p>
        </w:tc>
        <w:tc>
          <w:tcPr>
            <w:tcW w:w="1417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Pr="001442EB" w:rsidRDefault="00F80B5D" w:rsidP="00BC0B54">
            <w:pPr>
              <w:jc w:val="center"/>
            </w:pPr>
            <w:r>
              <w:t>59518,0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rPr>
          <w:trHeight w:val="241"/>
        </w:trPr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F80B5D" w:rsidRDefault="00F80B5D" w:rsidP="00BC0B54">
            <w:pPr>
              <w:jc w:val="center"/>
            </w:pPr>
            <w:r>
              <w:t>61898,7</w:t>
            </w:r>
          </w:p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Default="00F80B5D" w:rsidP="00BC0B54">
            <w:pPr>
              <w:jc w:val="center"/>
            </w:pPr>
            <w:r>
              <w:t>61898,7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c>
          <w:tcPr>
            <w:tcW w:w="5670" w:type="dxa"/>
            <w:vMerge/>
          </w:tcPr>
          <w:p w:rsidR="00F80B5D" w:rsidRPr="001442EB" w:rsidRDefault="00F80B5D" w:rsidP="00BC0B54"/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F80B5D" w:rsidRDefault="00F80B5D" w:rsidP="00BC0B54">
            <w:pPr>
              <w:jc w:val="center"/>
            </w:pPr>
            <w:r>
              <w:t>64374,7</w:t>
            </w:r>
          </w:p>
        </w:tc>
        <w:tc>
          <w:tcPr>
            <w:tcW w:w="1417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0B5D" w:rsidRDefault="00F80B5D" w:rsidP="00BC0B54">
            <w:pPr>
              <w:jc w:val="center"/>
            </w:pPr>
            <w:r>
              <w:t>64374,7</w:t>
            </w:r>
          </w:p>
        </w:tc>
        <w:tc>
          <w:tcPr>
            <w:tcW w:w="2125" w:type="dxa"/>
            <w:vMerge/>
          </w:tcPr>
          <w:p w:rsidR="00F80B5D" w:rsidRPr="001442EB" w:rsidRDefault="00F80B5D" w:rsidP="00BC0B54">
            <w:pPr>
              <w:jc w:val="center"/>
            </w:pPr>
          </w:p>
        </w:tc>
      </w:tr>
      <w:tr w:rsidR="00F80B5D" w:rsidRPr="001442EB" w:rsidTr="00BC0B54">
        <w:trPr>
          <w:trHeight w:val="3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745B2B" w:rsidRDefault="00F80B5D" w:rsidP="00BC0B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745B2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302578,4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121987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121987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302578,4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5D" w:rsidRPr="001442EB" w:rsidTr="00BC0B54">
        <w:trPr>
          <w:trHeight w:val="3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745B2B" w:rsidRDefault="00F80B5D" w:rsidP="00BC0B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«Разработка документов стратегического планирования Всеволожского муниципального района и реализация планов мероприятий документов стратегического планирования»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745B2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B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0B5D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Комитеты, отделы администрации МО «ВМР» ЛО </w:t>
            </w:r>
          </w:p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F80B5D" w:rsidRPr="001442EB" w:rsidTr="00BC0B54">
        <w:trPr>
          <w:trHeight w:val="3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«Привлечение инвестиций в экономику Всеволожского района на условиях соглашений о муниципально-частном партнерстве»</w:t>
            </w:r>
          </w:p>
          <w:p w:rsidR="00F80B5D" w:rsidRPr="001442EB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Default="00F80B5D" w:rsidP="00BC0B54">
            <w:r w:rsidRPr="00C23BD2"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F80B5D" w:rsidRPr="001442EB" w:rsidTr="00BC0B54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195C53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регулирующего воздействия нормативных правовых актов во Всеволожском муниципальном районе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Default="00F80B5D" w:rsidP="00BC0B54">
            <w:r w:rsidRPr="00C23BD2"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F80B5D" w:rsidRPr="001442EB" w:rsidTr="00BC0B54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500356">
              <w:rPr>
                <w:rFonts w:ascii="Times New Roman" w:hAnsi="Times New Roman"/>
                <w:sz w:val="24"/>
                <w:szCs w:val="24"/>
              </w:rPr>
              <w:t>«</w:t>
            </w:r>
            <w:r w:rsidRPr="0050035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Содействие формированию и реализации инвестиционной</w:t>
            </w:r>
            <w:r w:rsidRPr="0050035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0035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политики Всеволожского муниципального района </w:t>
            </w:r>
            <w:r w:rsidRPr="00500356">
              <w:rPr>
                <w:rFonts w:ascii="Times New Roman" w:hAnsi="Times New Roman"/>
                <w:spacing w:val="8"/>
                <w:sz w:val="24"/>
                <w:szCs w:val="24"/>
              </w:rPr>
              <w:t>Ленинградской области</w:t>
            </w:r>
            <w:r w:rsidRPr="0050035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, привлечению инвестиций в экономику Всеволожского муниципального района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»: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Default="00F80B5D" w:rsidP="00BC0B54">
            <w:r w:rsidRPr="00C23BD2"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F80B5D" w:rsidRPr="001442EB" w:rsidTr="00BC0B54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проведение заседаний </w:t>
            </w:r>
            <w:r w:rsidRPr="00500356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356">
              <w:rPr>
                <w:rFonts w:ascii="Times New Roman" w:hAnsi="Times New Roman"/>
                <w:sz w:val="24"/>
                <w:szCs w:val="24"/>
              </w:rPr>
              <w:t xml:space="preserve"> по улучшению инвестиционного климата Всеволожского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Default="00F80B5D" w:rsidP="00BC0B54">
            <w:r w:rsidRPr="00C23BD2"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экономическому развитию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</w:t>
            </w:r>
          </w:p>
        </w:tc>
      </w:tr>
      <w:tr w:rsidR="00F80B5D" w:rsidRPr="001442EB" w:rsidTr="00BC0B54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CE2F21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D0728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D07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0728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Интегрированной региональной информационной системе «Инвестиционное развитие территории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F80B5D" w:rsidRPr="001442EB" w:rsidTr="00BC0B54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728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Инвестиционного паспорта Всеволожского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Default="00F80B5D" w:rsidP="00BC0B54">
            <w:r w:rsidRPr="00DF671A"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F80B5D" w:rsidRPr="001442EB" w:rsidTr="00BC0B54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E85EB8">
              <w:rPr>
                <w:rFonts w:ascii="Times New Roman" w:hAnsi="Times New Roman" w:cs="Times New Roman"/>
                <w:sz w:val="24"/>
                <w:szCs w:val="24"/>
              </w:rPr>
              <w:t>: "Развитие конкуренции на рынках товаров, работ и услуг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Default="00F80B5D" w:rsidP="00BC0B54">
            <w:r w:rsidRPr="00F716C1"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D" w:rsidRPr="00FA7ED9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D" w:rsidRPr="001442EB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F80B5D" w:rsidRPr="00AF6FC5" w:rsidTr="00BC0B54">
        <w:tc>
          <w:tcPr>
            <w:tcW w:w="5670" w:type="dxa"/>
          </w:tcPr>
          <w:p w:rsidR="00F80B5D" w:rsidRPr="00AF6FC5" w:rsidRDefault="00F80B5D" w:rsidP="00BC0B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417" w:type="dxa"/>
          </w:tcPr>
          <w:p w:rsidR="00F80B5D" w:rsidRPr="00AF6FC5" w:rsidRDefault="00F80B5D" w:rsidP="00BC0B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5">
              <w:rPr>
                <w:rFonts w:ascii="Times New Roman" w:hAnsi="Times New Roman" w:cs="Times New Roman"/>
                <w:b/>
                <w:sz w:val="24"/>
                <w:szCs w:val="24"/>
              </w:rPr>
              <w:t>2021-2025</w:t>
            </w:r>
          </w:p>
        </w:tc>
        <w:tc>
          <w:tcPr>
            <w:tcW w:w="1418" w:type="dxa"/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302578,4</w:t>
            </w:r>
          </w:p>
        </w:tc>
        <w:tc>
          <w:tcPr>
            <w:tcW w:w="1417" w:type="dxa"/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0</w:t>
            </w:r>
          </w:p>
        </w:tc>
        <w:tc>
          <w:tcPr>
            <w:tcW w:w="1702" w:type="dxa"/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0</w:t>
            </w:r>
          </w:p>
        </w:tc>
        <w:tc>
          <w:tcPr>
            <w:tcW w:w="1560" w:type="dxa"/>
          </w:tcPr>
          <w:p w:rsidR="00F80B5D" w:rsidRPr="00121987" w:rsidRDefault="00F80B5D" w:rsidP="00BC0B54">
            <w:pPr>
              <w:jc w:val="center"/>
              <w:rPr>
                <w:b/>
              </w:rPr>
            </w:pPr>
            <w:r w:rsidRPr="00121987">
              <w:rPr>
                <w:b/>
              </w:rPr>
              <w:t>302578,4</w:t>
            </w:r>
          </w:p>
        </w:tc>
        <w:tc>
          <w:tcPr>
            <w:tcW w:w="2125" w:type="dxa"/>
          </w:tcPr>
          <w:p w:rsidR="00F80B5D" w:rsidRPr="00AF6FC5" w:rsidRDefault="00F80B5D" w:rsidP="00BC0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B5D" w:rsidRDefault="00F80B5D" w:rsidP="00F80B5D">
      <w:pPr>
        <w:jc w:val="right"/>
      </w:pPr>
    </w:p>
    <w:p w:rsidR="00F80B5D" w:rsidRDefault="00F80B5D" w:rsidP="00F80B5D"/>
    <w:p w:rsidR="00F80B5D" w:rsidRPr="00666DAE" w:rsidRDefault="00F80B5D" w:rsidP="00705183">
      <w:pPr>
        <w:jc w:val="right"/>
        <w:rPr>
          <w:bCs/>
          <w:sz w:val="26"/>
          <w:szCs w:val="26"/>
        </w:rPr>
      </w:pPr>
    </w:p>
    <w:bookmarkEnd w:id="0"/>
    <w:bookmarkEnd w:id="1"/>
    <w:sectPr w:rsidR="00F80B5D" w:rsidRPr="00666DAE" w:rsidSect="00DE5241">
      <w:headerReference w:type="even" r:id="rId10"/>
      <w:headerReference w:type="default" r:id="rId11"/>
      <w:pgSz w:w="16838" w:h="11906" w:orient="landscape"/>
      <w:pgMar w:top="1418" w:right="1134" w:bottom="680" w:left="851" w:header="709" w:footer="572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FA" w:rsidRDefault="00C629FA">
      <w:r>
        <w:separator/>
      </w:r>
    </w:p>
  </w:endnote>
  <w:endnote w:type="continuationSeparator" w:id="0">
    <w:p w:rsidR="00C629FA" w:rsidRDefault="00C6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FA" w:rsidRDefault="00C629FA">
      <w:r>
        <w:separator/>
      </w:r>
    </w:p>
  </w:footnote>
  <w:footnote w:type="continuationSeparator" w:id="0">
    <w:p w:rsidR="00C629FA" w:rsidRDefault="00C6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CD" w:rsidRDefault="00D905CD" w:rsidP="000E1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5CD" w:rsidRDefault="00D905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CD" w:rsidRDefault="00D905CD" w:rsidP="000E1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8DA">
      <w:rPr>
        <w:rStyle w:val="a5"/>
        <w:noProof/>
      </w:rPr>
      <w:t>18</w:t>
    </w:r>
    <w:r>
      <w:rPr>
        <w:rStyle w:val="a5"/>
      </w:rPr>
      <w:fldChar w:fldCharType="end"/>
    </w:r>
  </w:p>
  <w:p w:rsidR="00D905CD" w:rsidRDefault="00D905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A08"/>
    <w:multiLevelType w:val="hybridMultilevel"/>
    <w:tmpl w:val="ED5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113849"/>
    <w:multiLevelType w:val="hybridMultilevel"/>
    <w:tmpl w:val="538800EC"/>
    <w:lvl w:ilvl="0" w:tplc="4E1C1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104CB5"/>
    <w:multiLevelType w:val="hybridMultilevel"/>
    <w:tmpl w:val="E6E21C12"/>
    <w:lvl w:ilvl="0" w:tplc="3B58307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B154B1"/>
    <w:multiLevelType w:val="hybridMultilevel"/>
    <w:tmpl w:val="4AA616E8"/>
    <w:lvl w:ilvl="0" w:tplc="026A0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29DC"/>
    <w:multiLevelType w:val="hybridMultilevel"/>
    <w:tmpl w:val="286ABF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29E0B64"/>
    <w:multiLevelType w:val="hybridMultilevel"/>
    <w:tmpl w:val="69B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1D6D"/>
    <w:multiLevelType w:val="hybridMultilevel"/>
    <w:tmpl w:val="4C3050F6"/>
    <w:lvl w:ilvl="0" w:tplc="01BE2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C3"/>
    <w:rsid w:val="00002E24"/>
    <w:rsid w:val="00014514"/>
    <w:rsid w:val="00024031"/>
    <w:rsid w:val="000273C9"/>
    <w:rsid w:val="00031E39"/>
    <w:rsid w:val="000333B4"/>
    <w:rsid w:val="000425FE"/>
    <w:rsid w:val="00042811"/>
    <w:rsid w:val="00062719"/>
    <w:rsid w:val="00067F99"/>
    <w:rsid w:val="000732D4"/>
    <w:rsid w:val="0007368A"/>
    <w:rsid w:val="000841A7"/>
    <w:rsid w:val="00086841"/>
    <w:rsid w:val="000A1E36"/>
    <w:rsid w:val="000A2797"/>
    <w:rsid w:val="000A2940"/>
    <w:rsid w:val="000A3B5B"/>
    <w:rsid w:val="000B1EE9"/>
    <w:rsid w:val="000B374D"/>
    <w:rsid w:val="000C4646"/>
    <w:rsid w:val="000D0B91"/>
    <w:rsid w:val="000D7172"/>
    <w:rsid w:val="000E066A"/>
    <w:rsid w:val="000E1BA7"/>
    <w:rsid w:val="000E6C71"/>
    <w:rsid w:val="001114A9"/>
    <w:rsid w:val="001117DB"/>
    <w:rsid w:val="00111D48"/>
    <w:rsid w:val="001160C5"/>
    <w:rsid w:val="00117B6B"/>
    <w:rsid w:val="00123AD2"/>
    <w:rsid w:val="0013472C"/>
    <w:rsid w:val="00134F82"/>
    <w:rsid w:val="00140E9F"/>
    <w:rsid w:val="00152CA8"/>
    <w:rsid w:val="00154EFB"/>
    <w:rsid w:val="00155AD9"/>
    <w:rsid w:val="00160D61"/>
    <w:rsid w:val="00170635"/>
    <w:rsid w:val="00171443"/>
    <w:rsid w:val="00180932"/>
    <w:rsid w:val="00182EE4"/>
    <w:rsid w:val="0018515F"/>
    <w:rsid w:val="00185394"/>
    <w:rsid w:val="001869A0"/>
    <w:rsid w:val="00195C53"/>
    <w:rsid w:val="001A72F9"/>
    <w:rsid w:val="001B28EC"/>
    <w:rsid w:val="001B3D85"/>
    <w:rsid w:val="001B4CDA"/>
    <w:rsid w:val="001C02EB"/>
    <w:rsid w:val="001C114B"/>
    <w:rsid w:val="001C3C95"/>
    <w:rsid w:val="001C686C"/>
    <w:rsid w:val="001C7168"/>
    <w:rsid w:val="001D7CF3"/>
    <w:rsid w:val="001E28EA"/>
    <w:rsid w:val="001E2EE5"/>
    <w:rsid w:val="001F7524"/>
    <w:rsid w:val="002009C8"/>
    <w:rsid w:val="002045D0"/>
    <w:rsid w:val="00212197"/>
    <w:rsid w:val="002152AB"/>
    <w:rsid w:val="00216448"/>
    <w:rsid w:val="00216DBE"/>
    <w:rsid w:val="0022327D"/>
    <w:rsid w:val="0023321E"/>
    <w:rsid w:val="00233A7B"/>
    <w:rsid w:val="002409BB"/>
    <w:rsid w:val="00241909"/>
    <w:rsid w:val="00242B71"/>
    <w:rsid w:val="00253FC0"/>
    <w:rsid w:val="00254F26"/>
    <w:rsid w:val="002609A9"/>
    <w:rsid w:val="0026535C"/>
    <w:rsid w:val="00265F56"/>
    <w:rsid w:val="00271DEB"/>
    <w:rsid w:val="00271DEF"/>
    <w:rsid w:val="00273F29"/>
    <w:rsid w:val="0027646B"/>
    <w:rsid w:val="002769E5"/>
    <w:rsid w:val="0028116A"/>
    <w:rsid w:val="002977E4"/>
    <w:rsid w:val="002A2275"/>
    <w:rsid w:val="002A2453"/>
    <w:rsid w:val="002A274E"/>
    <w:rsid w:val="002B0A97"/>
    <w:rsid w:val="002B1E97"/>
    <w:rsid w:val="002C56AE"/>
    <w:rsid w:val="002D0125"/>
    <w:rsid w:val="002D0874"/>
    <w:rsid w:val="002D4713"/>
    <w:rsid w:val="002D64B5"/>
    <w:rsid w:val="002D70DB"/>
    <w:rsid w:val="002E3FE7"/>
    <w:rsid w:val="002E50F9"/>
    <w:rsid w:val="002E6875"/>
    <w:rsid w:val="002F077D"/>
    <w:rsid w:val="002F0CBF"/>
    <w:rsid w:val="002F221A"/>
    <w:rsid w:val="002F4851"/>
    <w:rsid w:val="002F70A2"/>
    <w:rsid w:val="002F7C76"/>
    <w:rsid w:val="002F7FB9"/>
    <w:rsid w:val="00301157"/>
    <w:rsid w:val="003014B6"/>
    <w:rsid w:val="00305ADE"/>
    <w:rsid w:val="00314D7D"/>
    <w:rsid w:val="003222EC"/>
    <w:rsid w:val="00325362"/>
    <w:rsid w:val="003316C0"/>
    <w:rsid w:val="00333616"/>
    <w:rsid w:val="00333CCC"/>
    <w:rsid w:val="00333FBC"/>
    <w:rsid w:val="003347C2"/>
    <w:rsid w:val="0033638C"/>
    <w:rsid w:val="003436E4"/>
    <w:rsid w:val="00346999"/>
    <w:rsid w:val="003504CB"/>
    <w:rsid w:val="003539D2"/>
    <w:rsid w:val="00357425"/>
    <w:rsid w:val="00362DD5"/>
    <w:rsid w:val="00363242"/>
    <w:rsid w:val="003666B9"/>
    <w:rsid w:val="00375214"/>
    <w:rsid w:val="00375EF7"/>
    <w:rsid w:val="003761A0"/>
    <w:rsid w:val="003813B3"/>
    <w:rsid w:val="0038163B"/>
    <w:rsid w:val="00394402"/>
    <w:rsid w:val="00397393"/>
    <w:rsid w:val="003A2E3B"/>
    <w:rsid w:val="003B1794"/>
    <w:rsid w:val="003B31DE"/>
    <w:rsid w:val="003B596D"/>
    <w:rsid w:val="003C19C9"/>
    <w:rsid w:val="003D039D"/>
    <w:rsid w:val="003D1981"/>
    <w:rsid w:val="003D28F0"/>
    <w:rsid w:val="003D29E9"/>
    <w:rsid w:val="003D6CCA"/>
    <w:rsid w:val="003F4910"/>
    <w:rsid w:val="003F5462"/>
    <w:rsid w:val="003F5823"/>
    <w:rsid w:val="004004DA"/>
    <w:rsid w:val="00406F16"/>
    <w:rsid w:val="00412ED5"/>
    <w:rsid w:val="0041388F"/>
    <w:rsid w:val="004171A0"/>
    <w:rsid w:val="00423232"/>
    <w:rsid w:val="00423753"/>
    <w:rsid w:val="00425EAD"/>
    <w:rsid w:val="00426DE7"/>
    <w:rsid w:val="00431B97"/>
    <w:rsid w:val="00431F0C"/>
    <w:rsid w:val="00434449"/>
    <w:rsid w:val="00437131"/>
    <w:rsid w:val="004426F6"/>
    <w:rsid w:val="00446D49"/>
    <w:rsid w:val="00455ECE"/>
    <w:rsid w:val="00462914"/>
    <w:rsid w:val="00462BCF"/>
    <w:rsid w:val="00471D45"/>
    <w:rsid w:val="0047791D"/>
    <w:rsid w:val="00482EFD"/>
    <w:rsid w:val="004853A2"/>
    <w:rsid w:val="00487C7B"/>
    <w:rsid w:val="00490BF1"/>
    <w:rsid w:val="00491BFA"/>
    <w:rsid w:val="00497CC1"/>
    <w:rsid w:val="004A176B"/>
    <w:rsid w:val="004A4B04"/>
    <w:rsid w:val="004A5CF9"/>
    <w:rsid w:val="004B05D2"/>
    <w:rsid w:val="004B331F"/>
    <w:rsid w:val="004B3BD7"/>
    <w:rsid w:val="004B62AF"/>
    <w:rsid w:val="004C4024"/>
    <w:rsid w:val="004C55F8"/>
    <w:rsid w:val="004C5B2D"/>
    <w:rsid w:val="004C7A89"/>
    <w:rsid w:val="004D4B58"/>
    <w:rsid w:val="004E02E6"/>
    <w:rsid w:val="004E546B"/>
    <w:rsid w:val="004F0B66"/>
    <w:rsid w:val="004F0BD3"/>
    <w:rsid w:val="004F67A8"/>
    <w:rsid w:val="004F6B5B"/>
    <w:rsid w:val="00500356"/>
    <w:rsid w:val="005021E1"/>
    <w:rsid w:val="00513363"/>
    <w:rsid w:val="005138AF"/>
    <w:rsid w:val="005144A0"/>
    <w:rsid w:val="0052001F"/>
    <w:rsid w:val="00526DAE"/>
    <w:rsid w:val="00531345"/>
    <w:rsid w:val="0053487B"/>
    <w:rsid w:val="00537CF8"/>
    <w:rsid w:val="00540B63"/>
    <w:rsid w:val="00543D2D"/>
    <w:rsid w:val="00547397"/>
    <w:rsid w:val="00555B04"/>
    <w:rsid w:val="00560CBE"/>
    <w:rsid w:val="00563249"/>
    <w:rsid w:val="00566058"/>
    <w:rsid w:val="00567506"/>
    <w:rsid w:val="00571431"/>
    <w:rsid w:val="00572689"/>
    <w:rsid w:val="00574177"/>
    <w:rsid w:val="00577614"/>
    <w:rsid w:val="00590328"/>
    <w:rsid w:val="005958E3"/>
    <w:rsid w:val="00596ADF"/>
    <w:rsid w:val="005A4049"/>
    <w:rsid w:val="005B07AA"/>
    <w:rsid w:val="005B2AC0"/>
    <w:rsid w:val="005B4D42"/>
    <w:rsid w:val="005D28F2"/>
    <w:rsid w:val="005D7728"/>
    <w:rsid w:val="005E09BD"/>
    <w:rsid w:val="005E24AD"/>
    <w:rsid w:val="00600A43"/>
    <w:rsid w:val="0061022D"/>
    <w:rsid w:val="00614C27"/>
    <w:rsid w:val="0062114F"/>
    <w:rsid w:val="00626D21"/>
    <w:rsid w:val="00631237"/>
    <w:rsid w:val="00632BD2"/>
    <w:rsid w:val="0063462D"/>
    <w:rsid w:val="006352D7"/>
    <w:rsid w:val="006355BC"/>
    <w:rsid w:val="00640F07"/>
    <w:rsid w:val="00642ED3"/>
    <w:rsid w:val="006447A5"/>
    <w:rsid w:val="0064760E"/>
    <w:rsid w:val="00647875"/>
    <w:rsid w:val="006566FD"/>
    <w:rsid w:val="006628AA"/>
    <w:rsid w:val="00666DAE"/>
    <w:rsid w:val="00667783"/>
    <w:rsid w:val="006704D2"/>
    <w:rsid w:val="006720C3"/>
    <w:rsid w:val="00676AED"/>
    <w:rsid w:val="00682B86"/>
    <w:rsid w:val="00687097"/>
    <w:rsid w:val="006918B0"/>
    <w:rsid w:val="00692614"/>
    <w:rsid w:val="0069382C"/>
    <w:rsid w:val="00694978"/>
    <w:rsid w:val="006A2065"/>
    <w:rsid w:val="006A5C20"/>
    <w:rsid w:val="006B02F5"/>
    <w:rsid w:val="006B107F"/>
    <w:rsid w:val="006B2BC3"/>
    <w:rsid w:val="006B2D0E"/>
    <w:rsid w:val="006B3629"/>
    <w:rsid w:val="006B790B"/>
    <w:rsid w:val="006B79D6"/>
    <w:rsid w:val="006B7AC7"/>
    <w:rsid w:val="006C21A8"/>
    <w:rsid w:val="006C554C"/>
    <w:rsid w:val="006C6FE9"/>
    <w:rsid w:val="006C7601"/>
    <w:rsid w:val="006D0728"/>
    <w:rsid w:val="006D0760"/>
    <w:rsid w:val="006E080A"/>
    <w:rsid w:val="006E1226"/>
    <w:rsid w:val="006E33F6"/>
    <w:rsid w:val="006E66C2"/>
    <w:rsid w:val="006E7A8B"/>
    <w:rsid w:val="006F13A4"/>
    <w:rsid w:val="006F7F79"/>
    <w:rsid w:val="00704694"/>
    <w:rsid w:val="00705183"/>
    <w:rsid w:val="00707476"/>
    <w:rsid w:val="00712405"/>
    <w:rsid w:val="00726A7A"/>
    <w:rsid w:val="00730E0B"/>
    <w:rsid w:val="00731010"/>
    <w:rsid w:val="00741F88"/>
    <w:rsid w:val="00745B2B"/>
    <w:rsid w:val="00746C12"/>
    <w:rsid w:val="007510B4"/>
    <w:rsid w:val="00752503"/>
    <w:rsid w:val="00753C06"/>
    <w:rsid w:val="0075484F"/>
    <w:rsid w:val="007564F5"/>
    <w:rsid w:val="00757F2A"/>
    <w:rsid w:val="00761832"/>
    <w:rsid w:val="007742AB"/>
    <w:rsid w:val="007743F0"/>
    <w:rsid w:val="0077552A"/>
    <w:rsid w:val="0078057F"/>
    <w:rsid w:val="00793622"/>
    <w:rsid w:val="007A6400"/>
    <w:rsid w:val="007A78DF"/>
    <w:rsid w:val="007B1AA1"/>
    <w:rsid w:val="007B2E04"/>
    <w:rsid w:val="007B5724"/>
    <w:rsid w:val="007C07B1"/>
    <w:rsid w:val="007C218C"/>
    <w:rsid w:val="007D5B8B"/>
    <w:rsid w:val="007E2D67"/>
    <w:rsid w:val="007F104A"/>
    <w:rsid w:val="007F41F1"/>
    <w:rsid w:val="007F4A62"/>
    <w:rsid w:val="007F7E09"/>
    <w:rsid w:val="00803480"/>
    <w:rsid w:val="008055C9"/>
    <w:rsid w:val="00812671"/>
    <w:rsid w:val="00831010"/>
    <w:rsid w:val="008329BF"/>
    <w:rsid w:val="008368F0"/>
    <w:rsid w:val="00841FB2"/>
    <w:rsid w:val="00842CC1"/>
    <w:rsid w:val="0084323F"/>
    <w:rsid w:val="00843B38"/>
    <w:rsid w:val="0084420C"/>
    <w:rsid w:val="0085092F"/>
    <w:rsid w:val="00856C63"/>
    <w:rsid w:val="00856E7A"/>
    <w:rsid w:val="00873BD6"/>
    <w:rsid w:val="00873C40"/>
    <w:rsid w:val="00873C62"/>
    <w:rsid w:val="008757FC"/>
    <w:rsid w:val="00880080"/>
    <w:rsid w:val="00885E13"/>
    <w:rsid w:val="008960A6"/>
    <w:rsid w:val="0089626C"/>
    <w:rsid w:val="0089731B"/>
    <w:rsid w:val="00897516"/>
    <w:rsid w:val="008A5938"/>
    <w:rsid w:val="008A70A9"/>
    <w:rsid w:val="008B0995"/>
    <w:rsid w:val="008B409D"/>
    <w:rsid w:val="008D0DEF"/>
    <w:rsid w:val="008E228A"/>
    <w:rsid w:val="008E6D66"/>
    <w:rsid w:val="0090335C"/>
    <w:rsid w:val="0090586E"/>
    <w:rsid w:val="00905A19"/>
    <w:rsid w:val="009104DC"/>
    <w:rsid w:val="009126AA"/>
    <w:rsid w:val="00912EDD"/>
    <w:rsid w:val="009156BC"/>
    <w:rsid w:val="00917D9E"/>
    <w:rsid w:val="00924712"/>
    <w:rsid w:val="0092570F"/>
    <w:rsid w:val="00926BCD"/>
    <w:rsid w:val="00930600"/>
    <w:rsid w:val="00934C97"/>
    <w:rsid w:val="00941147"/>
    <w:rsid w:val="00952931"/>
    <w:rsid w:val="00954407"/>
    <w:rsid w:val="009574CD"/>
    <w:rsid w:val="00965579"/>
    <w:rsid w:val="009726FC"/>
    <w:rsid w:val="00984A65"/>
    <w:rsid w:val="0099762E"/>
    <w:rsid w:val="009A30A0"/>
    <w:rsid w:val="009B5D8C"/>
    <w:rsid w:val="009B72DD"/>
    <w:rsid w:val="009B7766"/>
    <w:rsid w:val="009B7D29"/>
    <w:rsid w:val="009D0778"/>
    <w:rsid w:val="009D323C"/>
    <w:rsid w:val="009D480D"/>
    <w:rsid w:val="009D6D21"/>
    <w:rsid w:val="009D7CFE"/>
    <w:rsid w:val="009E21FA"/>
    <w:rsid w:val="009E4C39"/>
    <w:rsid w:val="009F52B8"/>
    <w:rsid w:val="00A0604A"/>
    <w:rsid w:val="00A07000"/>
    <w:rsid w:val="00A10084"/>
    <w:rsid w:val="00A14261"/>
    <w:rsid w:val="00A17150"/>
    <w:rsid w:val="00A20117"/>
    <w:rsid w:val="00A22660"/>
    <w:rsid w:val="00A25A40"/>
    <w:rsid w:val="00A270C5"/>
    <w:rsid w:val="00A309E5"/>
    <w:rsid w:val="00A36465"/>
    <w:rsid w:val="00A46B1C"/>
    <w:rsid w:val="00A47B4E"/>
    <w:rsid w:val="00A500DF"/>
    <w:rsid w:val="00A551AE"/>
    <w:rsid w:val="00A64BBE"/>
    <w:rsid w:val="00A6655E"/>
    <w:rsid w:val="00A667FC"/>
    <w:rsid w:val="00A7379D"/>
    <w:rsid w:val="00A74E17"/>
    <w:rsid w:val="00A7717B"/>
    <w:rsid w:val="00A81A81"/>
    <w:rsid w:val="00A83DC4"/>
    <w:rsid w:val="00A861AB"/>
    <w:rsid w:val="00A87165"/>
    <w:rsid w:val="00A93A34"/>
    <w:rsid w:val="00A944B7"/>
    <w:rsid w:val="00A95452"/>
    <w:rsid w:val="00AA10CC"/>
    <w:rsid w:val="00AA1C3D"/>
    <w:rsid w:val="00AA5BFB"/>
    <w:rsid w:val="00AB61F3"/>
    <w:rsid w:val="00AC78CB"/>
    <w:rsid w:val="00AD555C"/>
    <w:rsid w:val="00AE30CB"/>
    <w:rsid w:val="00AF02C2"/>
    <w:rsid w:val="00AF06B0"/>
    <w:rsid w:val="00AF4684"/>
    <w:rsid w:val="00AF6FC5"/>
    <w:rsid w:val="00B0021C"/>
    <w:rsid w:val="00B00B19"/>
    <w:rsid w:val="00B03A5F"/>
    <w:rsid w:val="00B17396"/>
    <w:rsid w:val="00B22FB8"/>
    <w:rsid w:val="00B250BA"/>
    <w:rsid w:val="00B25A8E"/>
    <w:rsid w:val="00B27C34"/>
    <w:rsid w:val="00B31B6E"/>
    <w:rsid w:val="00B37BC0"/>
    <w:rsid w:val="00B41698"/>
    <w:rsid w:val="00B425E6"/>
    <w:rsid w:val="00B42D0E"/>
    <w:rsid w:val="00B55100"/>
    <w:rsid w:val="00B6419A"/>
    <w:rsid w:val="00B64D28"/>
    <w:rsid w:val="00B70730"/>
    <w:rsid w:val="00B70B1E"/>
    <w:rsid w:val="00B830CA"/>
    <w:rsid w:val="00B856C2"/>
    <w:rsid w:val="00B8638E"/>
    <w:rsid w:val="00B9131E"/>
    <w:rsid w:val="00BA6FF6"/>
    <w:rsid w:val="00BB40A6"/>
    <w:rsid w:val="00BB5B84"/>
    <w:rsid w:val="00BB6B19"/>
    <w:rsid w:val="00BD15B9"/>
    <w:rsid w:val="00BD7C06"/>
    <w:rsid w:val="00BE0BDB"/>
    <w:rsid w:val="00BE5EED"/>
    <w:rsid w:val="00BF1FD0"/>
    <w:rsid w:val="00BF2906"/>
    <w:rsid w:val="00BF68A1"/>
    <w:rsid w:val="00BF6EBA"/>
    <w:rsid w:val="00C02954"/>
    <w:rsid w:val="00C033DE"/>
    <w:rsid w:val="00C10A85"/>
    <w:rsid w:val="00C11B5B"/>
    <w:rsid w:val="00C13908"/>
    <w:rsid w:val="00C142A7"/>
    <w:rsid w:val="00C152D6"/>
    <w:rsid w:val="00C22088"/>
    <w:rsid w:val="00C246CC"/>
    <w:rsid w:val="00C265ED"/>
    <w:rsid w:val="00C3001A"/>
    <w:rsid w:val="00C33B82"/>
    <w:rsid w:val="00C56C26"/>
    <w:rsid w:val="00C629FA"/>
    <w:rsid w:val="00C67DEF"/>
    <w:rsid w:val="00C70D4F"/>
    <w:rsid w:val="00C73763"/>
    <w:rsid w:val="00C769D1"/>
    <w:rsid w:val="00C7754B"/>
    <w:rsid w:val="00C7769C"/>
    <w:rsid w:val="00C928BC"/>
    <w:rsid w:val="00C959BC"/>
    <w:rsid w:val="00CA2CBF"/>
    <w:rsid w:val="00CE2F21"/>
    <w:rsid w:val="00CE5C02"/>
    <w:rsid w:val="00CF3F6F"/>
    <w:rsid w:val="00CF4CFF"/>
    <w:rsid w:val="00CF6F9D"/>
    <w:rsid w:val="00D16082"/>
    <w:rsid w:val="00D226D1"/>
    <w:rsid w:val="00D31600"/>
    <w:rsid w:val="00D32A54"/>
    <w:rsid w:val="00D34DA0"/>
    <w:rsid w:val="00D35A4D"/>
    <w:rsid w:val="00D3735D"/>
    <w:rsid w:val="00D573AD"/>
    <w:rsid w:val="00D57C0C"/>
    <w:rsid w:val="00D607AA"/>
    <w:rsid w:val="00D623F7"/>
    <w:rsid w:val="00D717BF"/>
    <w:rsid w:val="00D831CC"/>
    <w:rsid w:val="00D84378"/>
    <w:rsid w:val="00D8477A"/>
    <w:rsid w:val="00D905CD"/>
    <w:rsid w:val="00D9522A"/>
    <w:rsid w:val="00DA0A9E"/>
    <w:rsid w:val="00DA3511"/>
    <w:rsid w:val="00DB3E3E"/>
    <w:rsid w:val="00DB62C5"/>
    <w:rsid w:val="00DB74E9"/>
    <w:rsid w:val="00DB7A96"/>
    <w:rsid w:val="00DB7E98"/>
    <w:rsid w:val="00DC106F"/>
    <w:rsid w:val="00DC4907"/>
    <w:rsid w:val="00DD282E"/>
    <w:rsid w:val="00DD6316"/>
    <w:rsid w:val="00DD757C"/>
    <w:rsid w:val="00DE0C0B"/>
    <w:rsid w:val="00DE5241"/>
    <w:rsid w:val="00DE52CA"/>
    <w:rsid w:val="00DE55EC"/>
    <w:rsid w:val="00DE5807"/>
    <w:rsid w:val="00DE6FF1"/>
    <w:rsid w:val="00DF145C"/>
    <w:rsid w:val="00DF621C"/>
    <w:rsid w:val="00DF6EEB"/>
    <w:rsid w:val="00E00095"/>
    <w:rsid w:val="00E032DC"/>
    <w:rsid w:val="00E04D4D"/>
    <w:rsid w:val="00E11A80"/>
    <w:rsid w:val="00E128DA"/>
    <w:rsid w:val="00E14841"/>
    <w:rsid w:val="00E218A0"/>
    <w:rsid w:val="00E2546B"/>
    <w:rsid w:val="00E25547"/>
    <w:rsid w:val="00E32FBC"/>
    <w:rsid w:val="00E661C7"/>
    <w:rsid w:val="00E67A5B"/>
    <w:rsid w:val="00E70D87"/>
    <w:rsid w:val="00E726BF"/>
    <w:rsid w:val="00E75720"/>
    <w:rsid w:val="00E757F2"/>
    <w:rsid w:val="00E824EB"/>
    <w:rsid w:val="00E835DB"/>
    <w:rsid w:val="00E83AFF"/>
    <w:rsid w:val="00E85EB8"/>
    <w:rsid w:val="00E86A3D"/>
    <w:rsid w:val="00E91329"/>
    <w:rsid w:val="00E92667"/>
    <w:rsid w:val="00E93795"/>
    <w:rsid w:val="00EA1EB1"/>
    <w:rsid w:val="00EA3A20"/>
    <w:rsid w:val="00EB178E"/>
    <w:rsid w:val="00EB36A7"/>
    <w:rsid w:val="00EB542E"/>
    <w:rsid w:val="00EC16EF"/>
    <w:rsid w:val="00EC4341"/>
    <w:rsid w:val="00ED17A0"/>
    <w:rsid w:val="00ED241F"/>
    <w:rsid w:val="00ED3877"/>
    <w:rsid w:val="00EE2235"/>
    <w:rsid w:val="00EF2C61"/>
    <w:rsid w:val="00EF4682"/>
    <w:rsid w:val="00EF7446"/>
    <w:rsid w:val="00F03C22"/>
    <w:rsid w:val="00F053AC"/>
    <w:rsid w:val="00F1562D"/>
    <w:rsid w:val="00F20F41"/>
    <w:rsid w:val="00F261B8"/>
    <w:rsid w:val="00F27166"/>
    <w:rsid w:val="00F27D0D"/>
    <w:rsid w:val="00F30FEB"/>
    <w:rsid w:val="00F31DE7"/>
    <w:rsid w:val="00F340B0"/>
    <w:rsid w:val="00F371F2"/>
    <w:rsid w:val="00F40593"/>
    <w:rsid w:val="00F42B5E"/>
    <w:rsid w:val="00F463CD"/>
    <w:rsid w:val="00F47901"/>
    <w:rsid w:val="00F50EB6"/>
    <w:rsid w:val="00F53294"/>
    <w:rsid w:val="00F56C81"/>
    <w:rsid w:val="00F60CD6"/>
    <w:rsid w:val="00F66997"/>
    <w:rsid w:val="00F74489"/>
    <w:rsid w:val="00F80B5D"/>
    <w:rsid w:val="00F81876"/>
    <w:rsid w:val="00F9145F"/>
    <w:rsid w:val="00F93291"/>
    <w:rsid w:val="00FA2320"/>
    <w:rsid w:val="00FA7ED9"/>
    <w:rsid w:val="00FB780F"/>
    <w:rsid w:val="00FC1C44"/>
    <w:rsid w:val="00FC4E79"/>
    <w:rsid w:val="00FC59BF"/>
    <w:rsid w:val="00FC6321"/>
    <w:rsid w:val="00FC6464"/>
    <w:rsid w:val="00FD3A18"/>
    <w:rsid w:val="00FD40E0"/>
    <w:rsid w:val="00FD4991"/>
    <w:rsid w:val="00FE31AC"/>
    <w:rsid w:val="00FE4F85"/>
    <w:rsid w:val="00FE5C29"/>
    <w:rsid w:val="00FE6E90"/>
    <w:rsid w:val="00FE7163"/>
    <w:rsid w:val="00FF0940"/>
    <w:rsid w:val="00FF1F60"/>
    <w:rsid w:val="00FF3BC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38329-B5A0-4868-AA71-F42B598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F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253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53FC0"/>
    <w:pPr>
      <w:spacing w:before="100" w:beforeAutospacing="1" w:after="100" w:afterAutospacing="1"/>
    </w:pPr>
  </w:style>
  <w:style w:type="paragraph" w:customStyle="1" w:styleId="ConsPlusCell">
    <w:name w:val="ConsPlusCell"/>
    <w:rsid w:val="00253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">
    <w:name w:val="Style"/>
    <w:rsid w:val="00253FC0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11">
    <w:name w:val="Абзац списка1"/>
    <w:link w:val="ListParagraphChar"/>
    <w:rsid w:val="00253FC0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253FC0"/>
    <w:rPr>
      <w:rFonts w:ascii="Calibri" w:eastAsia="Calibri" w:hAnsi="Calibri" w:cs="Times New Roman"/>
      <w:kern w:val="1"/>
      <w:lang w:eastAsia="ar-SA"/>
    </w:rPr>
  </w:style>
  <w:style w:type="paragraph" w:styleId="a3">
    <w:name w:val="Normal (Web)"/>
    <w:aliases w:val="Обычный (Web)1"/>
    <w:basedOn w:val="a"/>
    <w:link w:val="a4"/>
    <w:rsid w:val="00253FC0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paragraph" w:customStyle="1" w:styleId="Table1">
    <w:name w:val="Table1"/>
    <w:basedOn w:val="a"/>
    <w:rsid w:val="00253FC0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0"/>
      <w:lang w:val="en-US" w:eastAsia="ja-JP"/>
    </w:rPr>
  </w:style>
  <w:style w:type="paragraph" w:styleId="21">
    <w:name w:val="Body Text Indent 2"/>
    <w:basedOn w:val="a"/>
    <w:link w:val="22"/>
    <w:rsid w:val="00253FC0"/>
    <w:pPr>
      <w:ind w:firstLine="720"/>
    </w:pPr>
    <w:rPr>
      <w:szCs w:val="20"/>
      <w:lang w:val="x-none" w:eastAsia="ja-JP"/>
    </w:rPr>
  </w:style>
  <w:style w:type="character" w:customStyle="1" w:styleId="22">
    <w:name w:val="Основной текст с отступом 2 Знак"/>
    <w:basedOn w:val="a0"/>
    <w:link w:val="21"/>
    <w:rsid w:val="00253FC0"/>
    <w:rPr>
      <w:rFonts w:ascii="Times New Roman" w:eastAsia="Times New Roman" w:hAnsi="Times New Roman" w:cs="Times New Roman"/>
      <w:sz w:val="24"/>
      <w:szCs w:val="20"/>
      <w:lang w:val="x-none" w:eastAsia="ja-JP"/>
    </w:rPr>
  </w:style>
  <w:style w:type="paragraph" w:styleId="23">
    <w:name w:val="Body Text 2"/>
    <w:basedOn w:val="a"/>
    <w:link w:val="24"/>
    <w:rsid w:val="00253FC0"/>
    <w:pPr>
      <w:jc w:val="center"/>
    </w:pPr>
    <w:rPr>
      <w:b/>
      <w:szCs w:val="20"/>
      <w:lang w:val="x-none" w:eastAsia="ja-JP"/>
    </w:rPr>
  </w:style>
  <w:style w:type="character" w:customStyle="1" w:styleId="24">
    <w:name w:val="Основной текст 2 Знак"/>
    <w:basedOn w:val="a0"/>
    <w:link w:val="23"/>
    <w:rsid w:val="00253FC0"/>
    <w:rPr>
      <w:rFonts w:ascii="Times New Roman" w:eastAsia="Times New Roman" w:hAnsi="Times New Roman" w:cs="Times New Roman"/>
      <w:b/>
      <w:sz w:val="24"/>
      <w:szCs w:val="20"/>
      <w:lang w:val="x-none" w:eastAsia="ja-JP"/>
    </w:rPr>
  </w:style>
  <w:style w:type="character" w:styleId="a5">
    <w:name w:val="page number"/>
    <w:rsid w:val="00253FC0"/>
  </w:style>
  <w:style w:type="paragraph" w:styleId="a6">
    <w:name w:val="header"/>
    <w:basedOn w:val="a"/>
    <w:link w:val="a7"/>
    <w:uiPriority w:val="99"/>
    <w:rsid w:val="00253F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53F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53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"/>
    <w:link w:val="a3"/>
    <w:locked/>
    <w:rsid w:val="00253FC0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253FC0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002E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002E24"/>
    <w:rPr>
      <w:i/>
      <w:iCs/>
    </w:rPr>
  </w:style>
  <w:style w:type="paragraph" w:styleId="aa">
    <w:name w:val="List Paragraph"/>
    <w:basedOn w:val="a"/>
    <w:link w:val="ab"/>
    <w:uiPriority w:val="34"/>
    <w:qFormat/>
    <w:rsid w:val="00A20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A20117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A20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944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5">
    <w:name w:val="Абзац списка2"/>
    <w:rsid w:val="00A944B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e">
    <w:name w:val="Body Text"/>
    <w:basedOn w:val="a"/>
    <w:link w:val="af"/>
    <w:uiPriority w:val="99"/>
    <w:unhideWhenUsed/>
    <w:rsid w:val="00A1715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1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69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69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7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376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w-headline">
    <w:name w:val="mw-headline"/>
    <w:rsid w:val="00462BCF"/>
  </w:style>
  <w:style w:type="paragraph" w:styleId="af2">
    <w:name w:val="footer"/>
    <w:basedOn w:val="a"/>
    <w:link w:val="af3"/>
    <w:uiPriority w:val="99"/>
    <w:rsid w:val="005726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72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"/>
    <w:basedOn w:val="a0"/>
    <w:rsid w:val="003504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4">
    <w:name w:val="No Spacing"/>
    <w:link w:val="af5"/>
    <w:uiPriority w:val="1"/>
    <w:qFormat/>
    <w:rsid w:val="002B0A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2B0A97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2B0A97"/>
    <w:rPr>
      <w:rFonts w:ascii="Calibri" w:eastAsia="Times New Roman" w:hAnsi="Calibri" w:cs="Times New Roman"/>
      <w:lang w:eastAsia="ru-RU"/>
    </w:rPr>
  </w:style>
  <w:style w:type="paragraph" w:customStyle="1" w:styleId="af6">
    <w:name w:val="Стиль Знак"/>
    <w:basedOn w:val="a"/>
    <w:next w:val="2"/>
    <w:autoRedefine/>
    <w:rsid w:val="002F221A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22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ileserver\&#1069;&#1082;&#1086;&#1085;&#1086;&#1084;&#1080;&#1082;&#1072;\&#1050;&#1086;&#1084;&#1087;&#1072;&#1085;&#1080;&#1077;&#1094;%20&#1054;.&#1070;\&#1086;&#1090;&#1095;&#1077;&#1090;&#1099;%20&#1086;%20&#1089;&#1086;&#1094;&#1080;&#1072;&#1083;&#1100;&#1085;&#1086;-&#1101;&#1082;&#1086;&#1088;&#1085;&#1086;&#1084;&#1080;&#1095;&#1077;&#1089;&#1082;&#1086;&#1084;%20&#1088;&#1072;&#1079;&#1074;&#1080;&#1090;&#1080;&#1080;\2017%20&#1075;&#1086;&#1076;\1%20&#1087;&#1086;&#1083;&#1091;&#1075;&#1086;&#1076;&#1080;&#1077;%20%202017%20&#1075;&#1086;&#1076;&#1072;\&#1059;&#1076;&#1077;&#1083;&#1100;&#1085;&#1099;&#1081;%20&#1074;&#1077;&#1089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&#1101;&#1082;&#1086;&#1085;&#1086;&#1084;&#1080;&#1082;&#1072;\&#1050;&#1086;&#1084;&#1087;&#1072;&#1085;&#1080;&#1077;&#1094;%20&#1054;.&#1070;\28%20&#1086;&#1082;&#1090;&#1103;&#1073;&#1088;&#1103;\&#1044;&#1072;&#1085;&#1085;&#1099;&#1077;%20&#1048;&#1060;&#1053;&#1057;\&#1057;&#1087;&#1080;&#1089;&#1086;&#1082;%20&#1087;&#1086;%20&#1079;&#1087;&#1083;%20&#1074;%20&#1040;&#1044;&#1052;&#1048;&#1053;&#1048;&#1057;&#1058;&#1056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84676750932449"/>
          <c:y val="0.10713126065427389"/>
          <c:w val="0.4774853225583644"/>
          <c:h val="0.74822442297805558"/>
        </c:manualLayout>
      </c:layout>
      <c:pieChart>
        <c:varyColors val="1"/>
        <c:ser>
          <c:idx val="0"/>
          <c:order val="0"/>
          <c:explosion val="1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1"/>
              <c:layout>
                <c:manualLayout>
                  <c:x val="-1.1137920803377839E-2"/>
                  <c:y val="1.29252878923125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254159534406013E-2"/>
                  <c:y val="-7.9109654440403486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936026474951522E-2"/>
                  <c:y val="-3.689640317802914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9937464338697E-2"/>
                  <c:y val="-4.223119318207051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083875385142074E-2"/>
                  <c:y val="-5.44441335695982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0353531895469587E-2"/>
                  <c:y val="-5.77951867691665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8537761040739475E-2"/>
                  <c:y val="-2.391551309893370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4967111719730601E-2"/>
                  <c:y val="1.546238192307179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Лист1!$B$4:$B$12</c:f>
              <c:strCache>
                <c:ptCount val="9"/>
                <c:pt idx="0">
                  <c:v>Промышленное производство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Транспортировка и хранение</c:v>
                </c:pt>
                <c:pt idx="3">
                  <c:v>Деятельность в области информации и связи</c:v>
                </c:pt>
                <c:pt idx="4">
                  <c:v>Строительство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в области здравоохранения и социальных услуг</c:v>
                </c:pt>
                <c:pt idx="8">
                  <c:v>Образование</c:v>
                </c:pt>
              </c:strCache>
            </c:strRef>
          </c:cat>
          <c:val>
            <c:numRef>
              <c:f>Лист1!$E$4:$E$12</c:f>
              <c:numCache>
                <c:formatCode>0.00</c:formatCode>
                <c:ptCount val="9"/>
                <c:pt idx="0">
                  <c:v>74.913829653591293</c:v>
                </c:pt>
                <c:pt idx="1">
                  <c:v>1.6535284695832417</c:v>
                </c:pt>
                <c:pt idx="2">
                  <c:v>4.2117474325555095</c:v>
                </c:pt>
                <c:pt idx="3">
                  <c:v>0.15703024402499921</c:v>
                </c:pt>
                <c:pt idx="4">
                  <c:v>6.4074228196350616</c:v>
                </c:pt>
                <c:pt idx="5">
                  <c:v>1.7485317672183662</c:v>
                </c:pt>
                <c:pt idx="6">
                  <c:v>2.4594371250902922</c:v>
                </c:pt>
                <c:pt idx="7">
                  <c:v>2.3461790615872622</c:v>
                </c:pt>
                <c:pt idx="8">
                  <c:v>0.137744967180679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663089062224"/>
          <c:y val="1.2433987920184657E-3"/>
          <c:w val="0.36114861229200812"/>
          <c:h val="0.922587483793441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Лист1!$A$3:$A$14</c:f>
              <c:strCache>
                <c:ptCount val="12"/>
                <c:pt idx="0">
                  <c:v>Обрабатывающие производства</c:v>
                </c:pt>
                <c:pt idx="1">
                  <c:v>Сельское хозяйство, лесное хозяйство, охота, рыболовство и рыбоводство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в области информации и связи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Образование</c:v>
                </c:pt>
                <c:pt idx="9">
                  <c:v>Деятельность в области здравоохранения и социальных услуг</c:v>
                </c:pt>
                <c:pt idx="10">
                  <c:v>Деятельность в области культуры, спорта, организации досуга и развлечений</c:v>
                </c:pt>
                <c:pt idx="11">
                  <c:v>Прочие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21.7</c:v>
                </c:pt>
                <c:pt idx="1">
                  <c:v>8.6</c:v>
                </c:pt>
                <c:pt idx="2">
                  <c:v>13.3</c:v>
                </c:pt>
                <c:pt idx="3">
                  <c:v>3.7</c:v>
                </c:pt>
                <c:pt idx="4">
                  <c:v>5.9</c:v>
                </c:pt>
                <c:pt idx="5">
                  <c:v>0.9</c:v>
                </c:pt>
                <c:pt idx="6">
                  <c:v>16.2</c:v>
                </c:pt>
                <c:pt idx="7">
                  <c:v>24.1</c:v>
                </c:pt>
                <c:pt idx="8">
                  <c:v>1.6</c:v>
                </c:pt>
                <c:pt idx="9">
                  <c:v>1.7</c:v>
                </c:pt>
                <c:pt idx="10">
                  <c:v>0.5</c:v>
                </c:pt>
                <c:pt idx="11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43072"/>
        <c:axId val="147042680"/>
      </c:barChart>
      <c:valAx>
        <c:axId val="1470426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43072"/>
        <c:crosses val="autoZero"/>
        <c:crossBetween val="between"/>
      </c:valAx>
      <c:catAx>
        <c:axId val="147043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42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4C5F-89DE-428A-B1DF-DEF76D5A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18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</dc:creator>
  <cp:keywords/>
  <dc:description/>
  <cp:lastModifiedBy>Компаниец </cp:lastModifiedBy>
  <cp:revision>243</cp:revision>
  <cp:lastPrinted>2020-09-30T12:33:00Z</cp:lastPrinted>
  <dcterms:created xsi:type="dcterms:W3CDTF">2020-09-24T09:48:00Z</dcterms:created>
  <dcterms:modified xsi:type="dcterms:W3CDTF">2022-02-21T06:18:00Z</dcterms:modified>
</cp:coreProperties>
</file>