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10"/>
        <w:tblW w:w="9721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722"/>
        <w:gridCol w:w="4999"/>
      </w:tblGrid>
      <w:tr>
        <w:tblPrEx/>
        <w:trPr>
          <w:trHeight w:val="2546"/>
        </w:trPr>
        <w:tc>
          <w:tcPr>
            <w:tcW w:w="4722" w:type="dxa"/>
            <w:textDirection w:val="lrTb"/>
            <w:noWrap w:val="false"/>
          </w:tcPr>
          <w:tbl>
            <w:tblPr>
              <w:tblpPr w:horzAnchor="margin" w:tblpXSpec="left" w:vertAnchor="text" w:tblpY="241" w:leftFromText="180" w:topFromText="0" w:rightFromText="180" w:bottomFromText="0"/>
              <w:tblW w:w="4722" w:type="dxa"/>
              <w:tblLayout w:type="fixed"/>
              <w:tblLook w:val="04A0" w:firstRow="1" w:lastRow="0" w:firstColumn="1" w:lastColumn="0" w:noHBand="0" w:noVBand="1"/>
            </w:tblPr>
            <w:tblGrid>
              <w:gridCol w:w="4722"/>
            </w:tblGrid>
            <w:tr>
              <w:tblPrEx/>
              <w:trPr>
                <w:trHeight w:val="2468"/>
              </w:trPr>
              <w:tc>
                <w:tcPr>
                  <w:shd w:val="clear" w:color="auto" w:fill="auto"/>
                  <w:tcW w:w="4722" w:type="dxa"/>
                  <w:textDirection w:val="lrTb"/>
                  <w:noWrap w:val="false"/>
                </w:tcPr>
                <w:p>
                  <w:pPr>
                    <w:ind w:left="-113" w:right="-113"/>
                    <w:jc w:val="center"/>
                    <w:pageBreakBefore/>
                    <w:spacing w:after="0" w:line="280" w:lineRule="exact"/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</w:rPr>
                  </w:r>
                </w:p>
                <w:p>
                  <w:pPr>
                    <w:pStyle w:val="733"/>
                    <w:ind w:firstLine="176"/>
                    <w:jc w:val="left"/>
                    <w:spacing w:before="240" w:after="120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</w:tr>
          </w:tbl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pStyle w:val="711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</w:p>
          <w:p>
            <w:pPr>
              <w:pStyle w:val="711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</w:p>
          <w:p>
            <w:pPr>
              <w:pStyle w:val="711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yellow"/>
                <w:lang w:eastAsia="ru-RU"/>
              </w:rPr>
            </w:r>
          </w:p>
        </w:tc>
      </w:tr>
    </w:tbl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pP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Внеочередное заседание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антитеррористической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16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сентября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r>
    </w:p>
    <w:p>
      <w:pPr>
        <w:ind w:left="-426" w:right="-1" w:firstLine="71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в здании 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 w:cs="Times New Roman"/>
          <w:sz w:val="28"/>
          <w:szCs w:val="28"/>
        </w:rPr>
        <w:t xml:space="preserve">Колтушское</w:t>
      </w:r>
      <w:r>
        <w:rPr>
          <w:rFonts w:ascii="Times New Roman" w:hAnsi="Times New Roman" w:cs="Times New Roman"/>
          <w:sz w:val="28"/>
          <w:szCs w:val="28"/>
        </w:rPr>
        <w:t xml:space="preserve"> ш., </w:t>
      </w:r>
      <w:r>
        <w:rPr>
          <w:rFonts w:ascii="Times New Roman" w:hAnsi="Times New Roman" w:cs="Times New Roman"/>
          <w:sz w:val="28"/>
          <w:szCs w:val="28"/>
        </w:rPr>
        <w:t xml:space="preserve">д. 138,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№125а</w:t>
      </w:r>
      <w:r>
        <w:rPr>
          <w:rFonts w:ascii="Times New Roman" w:hAnsi="Times New Roman" w:cs="Times New Roman"/>
          <w:sz w:val="28"/>
          <w:szCs w:val="28"/>
        </w:rPr>
        <w:t xml:space="preserve">, состоялось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внеочередное </w:t>
      </w:r>
      <w:r>
        <w:rPr>
          <w:rFonts w:ascii="Times New Roman" w:hAnsi="Times New Roman" w:cs="Times New Roman"/>
          <w:sz w:val="28"/>
          <w:szCs w:val="28"/>
        </w:rPr>
        <w:t xml:space="preserve">заседание антитеррористической комиссии Всеволожско</w:t>
      </w:r>
      <w:r>
        <w:rPr>
          <w:rFonts w:ascii="Times New Roman" w:hAnsi="Times New Roman" w:cs="Times New Roman"/>
          <w:sz w:val="28"/>
          <w:szCs w:val="28"/>
        </w:rPr>
        <w:t xml:space="preserve">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в режиме видеоконференцсвязи (ВКС).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42" w:right="-1" w:firstLine="567"/>
        <w:jc w:val="both"/>
        <w:spacing w:after="0" w:line="240" w:lineRule="auto"/>
        <w:rPr>
          <w:rFonts w:ascii="Times New Roman" w:hAnsi="Times New Roman" w:cs="Times New Roman"/>
          <w:sz w:val="4"/>
          <w:szCs w:val="4"/>
          <w:highlight w:val="yellow"/>
        </w:rPr>
      </w:pPr>
      <w:r>
        <w:rPr>
          <w:rFonts w:ascii="Times New Roman" w:hAnsi="Times New Roman" w:cs="Times New Roman"/>
          <w:sz w:val="4"/>
          <w:szCs w:val="4"/>
          <w:highlight w:val="yellow"/>
        </w:rPr>
      </w:r>
      <w:r>
        <w:rPr>
          <w:rFonts w:ascii="Times New Roman" w:hAnsi="Times New Roman" w:cs="Times New Roman"/>
          <w:sz w:val="4"/>
          <w:szCs w:val="4"/>
          <w:highlight w:val="yellow"/>
        </w:rPr>
      </w:r>
    </w:p>
    <w:p>
      <w:pPr>
        <w:ind w:left="-426" w:right="-5" w:firstLine="709"/>
        <w:jc w:val="both"/>
        <w:spacing w:after="0" w:line="240" w:lineRule="auto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Заседание антитеррористической комиссии Всеволожского муниципального района Ленинградской области (далее - Комиссия) проводил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глав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администрации Всеволожского муниципального района Ленинградской области 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председател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антитеррористической комиссии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Андрей Леонидович Воропаев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Из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членов Комиссии на заседании Комиссии присутствовал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членов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Комиссии, что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составило 8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00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% явки. В заседании Комиссии, кроме членов Комиссии, приняли участие: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редставители отдела надзорной деятельности и профилактической работы Всеволожского района Управления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НДиПР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Главного Управления МЧС России по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инспектор отдела надзорной деятельности и профилактической работы Всеволожского района Управления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НДиПР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Главного Управления МЧС России по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(Князева Д.А.);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представители администрации Всеволожского муниципального района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Ленинградской области: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главный специалист сектора транспортного обслуживания населения администрации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Комашенкова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Ю.В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),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ведущий специалист Комитета по образованию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Михайлова О.А.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Всем участникам заседания Комиссии в качестве раздаточного материала вручены: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8"/>
          <w:szCs w:val="8"/>
          <w:highlight w:val="yellow"/>
          <w:lang w:eastAsia="ru-RU"/>
        </w:rPr>
      </w:pPr>
      <w:r>
        <w:rPr>
          <w:rFonts w:ascii="Times New Roman" w:hAnsi="Times New Roman" w:eastAsia="Batang" w:cs="Times New Roman"/>
          <w:color w:val="000000"/>
          <w:sz w:val="8"/>
          <w:szCs w:val="8"/>
          <w:highlight w:val="yellow"/>
          <w:lang w:eastAsia="ru-RU"/>
        </w:rPr>
      </w:r>
      <w:r>
        <w:rPr>
          <w:rFonts w:ascii="Times New Roman" w:hAnsi="Times New Roman" w:eastAsia="Batang" w:cs="Times New Roman"/>
          <w:color w:val="000000"/>
          <w:sz w:val="8"/>
          <w:szCs w:val="8"/>
          <w:highlight w:val="yellow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Примерный Регламент проведения заседания Комиссии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Список участников заседания Комиссии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Состав Комиссии (Приложение №1)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Проект Решения Комиссии (Приложение №2)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5.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АЛГОРИТМ по действиям членов избирательных комиссий и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 представителей силовых структур в помещении избирательной комиссии и на прилегающей территории при получении сообщения о ракетной опасности, при угрозе атаки БПЛА, при совершении или угрозе совершения отдельных преступлений террористического характера, а 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также при изменениях обстановки (Отдельное вложение).</w:t>
      </w:r>
      <w:r>
        <w:rPr>
          <w:rFonts w:ascii="Times New Roman" w:hAnsi="Times New Roman" w:eastAsia="Times New Roman" w:cs="Times New Roman"/>
          <w:color w:val="000000"/>
          <w:sz w:val="8"/>
          <w:szCs w:val="8"/>
          <w:highlight w:val="yellow"/>
          <w:lang w:eastAsia="ru-RU"/>
        </w:rPr>
      </w:r>
    </w:p>
    <w:p>
      <w:pPr>
        <w:ind w:left="-426"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r>
    </w:p>
    <w:p>
      <w:pPr>
        <w:ind w:left="-426" w:right="-5" w:firstLine="852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Председательствующий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А.Л.Воропаев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приветственным словом открыл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заседание Комиссии и ознакомил членов Комиссии и ее участников с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овесткой дня заседания Комиссии.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Регламент проведения заседания Комиссии был утвержден единогласно.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5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r>
    </w:p>
    <w:p>
      <w:pPr>
        <w:ind w:left="-426" w:right="-5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ПОВЕСТКА ДНЯ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numPr>
          <w:ilvl w:val="0"/>
          <w:numId w:val="21"/>
        </w:numPr>
        <w:ind w:left="-426" w:right="-2" w:firstLine="993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 готовности объектов, задействованных в ходе проведения выборов депутатов Гос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ударственной Думы Федерального Собрания Российской Федерации девятого созыва и выборов депутатов Законодательного собрания Ленинградской области восьмого созыва на территории Всеволожского муниципального района Ленинградской области 20 сентября 2026 года».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318"/>
        <w:jc w:val="right"/>
        <w:spacing w:after="0" w:line="240" w:lineRule="auto"/>
        <w:rPr>
          <w:rFonts w:ascii="Times New Roman" w:hAnsi="Times New Roman" w:eastAsia="Batang" w:cs="Times New Roman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sz w:val="28"/>
          <w:szCs w:val="28"/>
          <w:lang w:eastAsia="ru-RU"/>
        </w:rPr>
      </w:r>
      <w:r>
        <w:rPr>
          <w:rFonts w:ascii="Times New Roman" w:hAnsi="Times New Roman" w:eastAsia="Batang" w:cs="Times New Roman"/>
          <w:sz w:val="28"/>
          <w:szCs w:val="28"/>
          <w:lang w:eastAsia="ru-RU"/>
        </w:rPr>
      </w:r>
    </w:p>
    <w:p>
      <w:pPr>
        <w:ind w:left="318"/>
        <w:spacing w:after="0" w:line="240" w:lineRule="auto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contextualSpacing/>
        <w:ind w:right="34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00506000000020000"/>
  </w:font>
  <w:font w:name="Calibri">
    <w:panose1 w:val="020F0502020204030204"/>
  </w:font>
  <w:font w:name="Wingdings">
    <w:panose1 w:val="05010000000000000000"/>
  </w:font>
  <w:font w:name="Symbol">
    <w:panose1 w:val="05010000000000000000"/>
  </w:font>
  <w:font w:name="XO Thames">
    <w:panose1 w:val="02020603050405020304"/>
  </w:font>
  <w:font w:name="Segoe UI">
    <w:panose1 w:val="020B050204050402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1"/>
      <w:ind w:left="-426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  <w:r>
      <w:rPr>
        <w:rFonts w:ascii="Times New Roman" w:hAnsi="Times New Roman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0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6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8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3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3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5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7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9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1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3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5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7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9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34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1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1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16"/>
  </w:num>
  <w:num w:numId="6">
    <w:abstractNumId w:val="19"/>
  </w:num>
  <w:num w:numId="7">
    <w:abstractNumId w:val="14"/>
  </w:num>
  <w:num w:numId="8">
    <w:abstractNumId w:val="10"/>
  </w:num>
  <w:num w:numId="9">
    <w:abstractNumId w:val="20"/>
  </w:num>
  <w:num w:numId="10">
    <w:abstractNumId w:val="13"/>
  </w:num>
  <w:num w:numId="11">
    <w:abstractNumId w:val="4"/>
  </w:num>
  <w:num w:numId="12">
    <w:abstractNumId w:val="6"/>
  </w:num>
  <w:num w:numId="13">
    <w:abstractNumId w:val="9"/>
  </w:num>
  <w:num w:numId="14">
    <w:abstractNumId w:val="11"/>
  </w:num>
  <w:num w:numId="15">
    <w:abstractNumId w:val="17"/>
  </w:num>
  <w:num w:numId="16">
    <w:abstractNumId w:val="12"/>
  </w:num>
  <w:num w:numId="17">
    <w:abstractNumId w:val="15"/>
  </w:num>
  <w:num w:numId="18">
    <w:abstractNumId w:val="18"/>
  </w:num>
  <w:num w:numId="19">
    <w:abstractNumId w:val="0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7"/>
    <w:link w:val="70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5"/>
    <w:next w:val="70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0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5"/>
    <w:next w:val="70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5"/>
    <w:next w:val="70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5"/>
    <w:next w:val="70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5"/>
    <w:next w:val="70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5"/>
    <w:next w:val="70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5"/>
    <w:next w:val="70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5"/>
    <w:next w:val="70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05"/>
    <w:next w:val="70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07"/>
    <w:link w:val="34"/>
    <w:uiPriority w:val="10"/>
    <w:rPr>
      <w:sz w:val="48"/>
      <w:szCs w:val="48"/>
    </w:rPr>
  </w:style>
  <w:style w:type="paragraph" w:styleId="36">
    <w:name w:val="Subtitle"/>
    <w:basedOn w:val="705"/>
    <w:next w:val="70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7"/>
    <w:link w:val="36"/>
    <w:uiPriority w:val="11"/>
    <w:rPr>
      <w:sz w:val="24"/>
      <w:szCs w:val="24"/>
    </w:rPr>
  </w:style>
  <w:style w:type="paragraph" w:styleId="38">
    <w:name w:val="Quote"/>
    <w:basedOn w:val="705"/>
    <w:next w:val="70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5"/>
    <w:next w:val="70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7"/>
    <w:link w:val="720"/>
    <w:uiPriority w:val="99"/>
  </w:style>
  <w:style w:type="character" w:styleId="45">
    <w:name w:val="Footer Char"/>
    <w:basedOn w:val="707"/>
    <w:link w:val="722"/>
    <w:uiPriority w:val="99"/>
  </w:style>
  <w:style w:type="paragraph" w:styleId="46">
    <w:name w:val="Caption"/>
    <w:basedOn w:val="705"/>
    <w:next w:val="70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0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7"/>
    <w:uiPriority w:val="99"/>
    <w:unhideWhenUsed/>
    <w:rPr>
      <w:vertAlign w:val="superscript"/>
    </w:rPr>
  </w:style>
  <w:style w:type="character" w:styleId="179">
    <w:name w:val="Endnote Text Char"/>
    <w:link w:val="729"/>
    <w:uiPriority w:val="99"/>
    <w:rPr>
      <w:sz w:val="20"/>
    </w:rPr>
  </w:style>
  <w:style w:type="paragraph" w:styleId="181">
    <w:name w:val="toc 1"/>
    <w:basedOn w:val="705"/>
    <w:next w:val="70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5"/>
    <w:next w:val="70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5"/>
    <w:next w:val="70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5"/>
    <w:next w:val="70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5"/>
    <w:next w:val="70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5"/>
    <w:next w:val="70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5"/>
    <w:next w:val="70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5"/>
    <w:next w:val="70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5"/>
    <w:next w:val="70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5"/>
    <w:next w:val="705"/>
    <w:uiPriority w:val="99"/>
    <w:unhideWhenUsed/>
    <w:pPr>
      <w:spacing w:after="0" w:afterAutospacing="0"/>
    </w:pPr>
  </w:style>
  <w:style w:type="paragraph" w:styleId="705" w:default="1">
    <w:name w:val="Normal"/>
    <w:qFormat/>
    <w:pPr>
      <w:spacing w:after="200" w:line="276" w:lineRule="auto"/>
    </w:pPr>
  </w:style>
  <w:style w:type="paragraph" w:styleId="706">
    <w:name w:val="Heading 1"/>
    <w:basedOn w:val="705"/>
    <w:next w:val="705"/>
    <w:link w:val="71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table" w:styleId="710">
    <w:name w:val="Table Grid"/>
    <w:basedOn w:val="70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1">
    <w:name w:val="No Spacing"/>
    <w:uiPriority w:val="1"/>
    <w:qFormat/>
    <w:pPr>
      <w:spacing w:after="0" w:line="240" w:lineRule="auto"/>
    </w:pPr>
  </w:style>
  <w:style w:type="paragraph" w:styleId="712">
    <w:name w:val="Plain Text"/>
    <w:basedOn w:val="705"/>
    <w:link w:val="713"/>
    <w:pPr>
      <w:ind w:firstLine="709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13" w:customStyle="1">
    <w:name w:val="Текст Знак"/>
    <w:basedOn w:val="707"/>
    <w:link w:val="712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714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15">
    <w:name w:val="Balloon Text"/>
    <w:basedOn w:val="705"/>
    <w:link w:val="71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16" w:customStyle="1">
    <w:name w:val="Текст выноски Знак"/>
    <w:basedOn w:val="707"/>
    <w:link w:val="715"/>
    <w:uiPriority w:val="99"/>
    <w:semiHidden/>
    <w:rPr>
      <w:rFonts w:ascii="Segoe UI" w:hAnsi="Segoe UI" w:cs="Segoe UI"/>
      <w:sz w:val="18"/>
      <w:szCs w:val="18"/>
    </w:rPr>
  </w:style>
  <w:style w:type="paragraph" w:styleId="717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718">
    <w:name w:val="Hyperlink"/>
    <w:basedOn w:val="707"/>
    <w:uiPriority w:val="99"/>
    <w:unhideWhenUsed/>
    <w:rPr>
      <w:color w:val="0563c1" w:themeColor="hyperlink"/>
      <w:u w:val="single"/>
    </w:rPr>
  </w:style>
  <w:style w:type="character" w:styleId="719" w:customStyle="1">
    <w:name w:val="Заголовок 1 Знак"/>
    <w:basedOn w:val="707"/>
    <w:link w:val="70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20">
    <w:name w:val="Header"/>
    <w:basedOn w:val="705"/>
    <w:link w:val="72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1" w:customStyle="1">
    <w:name w:val="Верхний колонтитул Знак"/>
    <w:basedOn w:val="707"/>
    <w:link w:val="720"/>
    <w:uiPriority w:val="99"/>
  </w:style>
  <w:style w:type="paragraph" w:styleId="722">
    <w:name w:val="Footer"/>
    <w:basedOn w:val="705"/>
    <w:link w:val="72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3" w:customStyle="1">
    <w:name w:val="Нижний колонтитул Знак"/>
    <w:basedOn w:val="707"/>
    <w:link w:val="722"/>
    <w:uiPriority w:val="99"/>
  </w:style>
  <w:style w:type="table" w:styleId="724" w:customStyle="1">
    <w:name w:val="Сетка таблицы1"/>
    <w:basedOn w:val="708"/>
    <w:next w:val="710"/>
    <w:uiPriority w:val="39"/>
    <w:pPr>
      <w:jc w:val="both"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5">
    <w:name w:val="List Paragraph"/>
    <w:basedOn w:val="705"/>
    <w:uiPriority w:val="34"/>
    <w:qFormat/>
    <w:pPr>
      <w:contextualSpacing/>
      <w:ind w:left="720"/>
    </w:pPr>
  </w:style>
  <w:style w:type="paragraph" w:styleId="726">
    <w:name w:val="Normal (Web)"/>
    <w:basedOn w:val="705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727" w:customStyle="1">
    <w:name w:val="Основной текст (2)_"/>
    <w:basedOn w:val="707"/>
    <w:link w:val="728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728" w:customStyle="1">
    <w:name w:val="Основной текст (2)"/>
    <w:basedOn w:val="705"/>
    <w:link w:val="727"/>
    <w:pPr>
      <w:jc w:val="right"/>
      <w:spacing w:after="0" w:line="326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729">
    <w:name w:val="endnote text"/>
    <w:basedOn w:val="705"/>
    <w:link w:val="73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30" w:customStyle="1">
    <w:name w:val="Текст концевой сноски Знак"/>
    <w:basedOn w:val="707"/>
    <w:link w:val="729"/>
    <w:uiPriority w:val="99"/>
    <w:semiHidden/>
    <w:rPr>
      <w:sz w:val="20"/>
      <w:szCs w:val="20"/>
    </w:rPr>
  </w:style>
  <w:style w:type="character" w:styleId="731">
    <w:name w:val="endnote reference"/>
    <w:basedOn w:val="707"/>
    <w:uiPriority w:val="99"/>
    <w:semiHidden/>
    <w:unhideWhenUsed/>
    <w:rPr>
      <w:vertAlign w:val="superscript"/>
    </w:rPr>
  </w:style>
  <w:style w:type="character" w:styleId="732">
    <w:name w:val="Emphasis"/>
    <w:basedOn w:val="707"/>
    <w:uiPriority w:val="20"/>
    <w:qFormat/>
    <w:rPr>
      <w:i/>
      <w:iCs/>
    </w:rPr>
  </w:style>
  <w:style w:type="paragraph" w:styleId="733" w:customStyle="1">
    <w:name w:val="Standard"/>
    <w:pPr>
      <w:jc w:val="both"/>
      <w:spacing w:after="0" w:line="240" w:lineRule="auto"/>
      <w:widowControl w:val="off"/>
    </w:pPr>
    <w:rPr>
      <w:rFonts w:ascii="XO Thames" w:hAnsi="XO Thames" w:eastAsia="XO Thames" w:cs="XO Thames"/>
      <w:color w:val="000000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4DBE-91B7-48F5-8FD3-09DB75BD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inf6</cp:lastModifiedBy>
  <cp:revision>9</cp:revision>
  <dcterms:created xsi:type="dcterms:W3CDTF">2026-06-30T14:21:00Z</dcterms:created>
  <dcterms:modified xsi:type="dcterms:W3CDTF">2026-09-22T06:17:50Z</dcterms:modified>
</cp:coreProperties>
</file>