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b/>
          <w:color w:val="333333"/>
          <w:sz w:val="18"/>
        </w:rPr>
        <w:t xml:space="preserve">Сведения об информационных/автоматизированных системах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Для обеспечения внутренней деятельности и проведения контрольных</w:t>
        <w:br/>
        <w:t xml:space="preserve">и экспертно-аналитических мероприятий контрольно-счетный орган Всеволожского муниципального района Ленинградской области использует информационные системы и ресурсы: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1. ГИИС Электронный Бюджет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2. ФГИС «Единая информационная система в сфере закупок»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3. Система электронного документооборота Ленинградской области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4. Справочная правовая система КонсультантПлюс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5. Портал Счетной палаты Российской Федерации и контрольно-счетных органов Российской Федерации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6. Официальный сайт Союза МКСО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ahoma" w:hAnsi="Tahoma" w:eastAsia="Tahoma" w:cs="Tahoma"/>
          <w:color w:val="333333"/>
          <w:sz w:val="18"/>
        </w:rPr>
        <w:t xml:space="preserve">7. Официальный сайт для размещения информации об учреждениях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inf6</cp:lastModifiedBy>
  <cp:revision>1</cp:revision>
  <dcterms:modified xsi:type="dcterms:W3CDTF">2026-10-09T07:44:29Z</dcterms:modified>
</cp:coreProperties>
</file>